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Решением конкурсной комиссии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1 от 10.06.2026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Конкурсная документация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проведения конкурса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природный музей-заповедник «Парк Монрепо»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проведения конкур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са: 05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.08.202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 года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Санкт-Петербург, 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Оглавление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1016"/>
        <w:tblW w:w="11055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205"/>
        <w:gridCol w:w="850"/>
      </w:tblGrid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Раздел 1.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Сведения о госу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дарственном бюджетном учреждении культуры Ленинградской области «Государственный историко-архитектурный и природный музей-заповедник «Парк Монрепо», включающие основные показатели его финансово-хозяйственной деятельности____________________________________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>
          <w:trHeight w:val="1485"/>
        </w:trPr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Раздел 2.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Форма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заявки на участ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ие в конкурсе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 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Раздел 3.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Требования к составу и содержанию документов, представляемых вместе с заявкой на участие в конкурсе на право замещения вакантной должности директора государственного бюджетного учреждения культуры Ленинградской области «Государственный истор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ико-архитектурный и природный музей-заповедник «Парк Монрепо»  ____________________________________________________________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Раздел 4.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Условия проведения конкурса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Раздел 5.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Критерии определения победителя конкурса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епо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  <w:t xml:space="preserve">Раздел 6.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Проект трудового договора, заключаемого с победителем конкурса по результатам конкурса на право замещения вакантной должности директора государственного бюджетного учреждения культуры Ленинградской области «Государственный ис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торико-архитектурный и природный музей-заповедник «Парк Монрепо» ____________________________________________________________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Приложение 1. Форма списка публикаций по направлениям профессиональной деятельности _________________________________________________________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33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Приложен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ие 2. Сведения о недвижим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ом имуществе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Монрепо», не используемом в производственных целях 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Приложение 3. Общее количество объектов недвижимого имущества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 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___________________  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  <w:tr>
        <w:tblPrEx/>
        <w:trPr/>
        <w:tc>
          <w:tcPr>
            <w:tcW w:w="1020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Приложение 4. 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ия приказа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комитета по сохранению культурного наследия Ленинградской области от 18.03.2021 № 01-0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3/21-29 «О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отдельных положений постановления Правительства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от 30 апреля 2020 года № 262»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редакции от 28.03.2025________________________________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85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  <w:t xml:space="preserve">39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highlight w:val="white"/>
        </w:rPr>
        <w:br w:type="page" w:clear="all"/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keepLines/>
        <w:keepNext/>
        <w:spacing w:after="0" w:line="240" w:lineRule="auto"/>
        <w:rPr>
          <w:rFonts w:eastAsiaTheme="majorEastAsia"/>
          <w:highlight w:val="white"/>
        </w:rPr>
        <w:outlineLvl w:val="0"/>
      </w:pPr>
      <w:r>
        <w:rPr>
          <w:highlight w:val="white"/>
        </w:rPr>
      </w:r>
      <w:bookmarkStart w:id="0" w:name="_Toc450754142"/>
      <w:r>
        <w:rPr>
          <w:highlight w:val="white"/>
        </w:rPr>
      </w:r>
      <w:bookmarkStart w:id="1" w:name="_Toc101436443"/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Раздел 1. Сведения о государственном бюджетном учреждении культуры Ленинградской области «Государственный историко-архитектурный и природный музей-заповедник «Парк Монрепо», включающие основные показатели его финансово-хозяйственн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ой деятельности</w:t>
      </w:r>
      <w:bookmarkEnd w:id="0"/>
      <w:r>
        <w:rPr>
          <w:highlight w:val="white"/>
        </w:rPr>
      </w:r>
      <w:bookmarkEnd w:id="1"/>
      <w:r>
        <w:rPr>
          <w:rFonts w:eastAsiaTheme="majorEastAsia"/>
          <w:highlight w:val="white"/>
        </w:rPr>
      </w:r>
      <w:r>
        <w:rPr>
          <w:rFonts w:eastAsiaTheme="majorEastAsia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Раздел 1. Общие сведения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tbl>
      <w:tblPr>
        <w:tblStyle w:val="1016"/>
        <w:tblW w:w="10095" w:type="dxa"/>
        <w:tblInd w:w="-601" w:type="dxa"/>
        <w:tblLook w:val="04A0" w:firstRow="1" w:lastRow="0" w:firstColumn="1" w:lastColumn="0" w:noHBand="0" w:noVBand="1"/>
      </w:tblPr>
      <w:tblGrid>
        <w:gridCol w:w="2667"/>
        <w:gridCol w:w="1872"/>
        <w:gridCol w:w="1058"/>
        <w:gridCol w:w="4492"/>
        <w:gridCol w:w="6"/>
      </w:tblGrid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Код строки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100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1.1. О </w:t>
            </w: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highlight w:val="white"/>
              </w:rPr>
              <w:t xml:space="preserve"> государственном бюджетном учреждении культуры Ленинградской области «Государственный историко-архитектурный и природный музей-заповедник «Парк Монрепо»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Полное 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Государственное бюджетное учреждение культуры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«Государственный историко-архитектурный и природный музей-заповедник «Парк Монрепо»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  <w:trHeight w:val="113"/>
        </w:trPr>
        <w:tc>
          <w:tcPr>
            <w:shd w:val="clear" w:color="auto" w:fill="auto"/>
            <w:tcW w:w="2667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Свидетельство о внесении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реестр государственного имущества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87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Реестровый номер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00500489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  <w:trHeight w:val="112"/>
        </w:trPr>
        <w:tc>
          <w:tcPr>
            <w:shd w:val="clear" w:color="auto" w:fill="auto"/>
            <w:tcW w:w="26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87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Дата присвоения реестрового номера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05.01.2019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188800, Ленинградская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г. Выборг, парк Монрепо, д. 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Адреса филиалов (представительств), обособленных структурных подразделений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pStyle w:val="1038"/>
              <w:ind w:left="-11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Отрасль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Основной вид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Деятельность музеев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Штатная и фактическая численность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tabs>
                <w:tab w:val="left" w:pos="2540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Штатная численность - 124,0 шт.ед., фактическая численность – 112 чел.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Сведения об учредителе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Комитет по сохранению культурного наследия 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10095" w:type="dxa"/>
            <w:textDirection w:val="lrTb"/>
            <w:noWrap w:val="false"/>
          </w:tcPr>
          <w:p>
            <w:pPr>
              <w:contextualSpacing/>
              <w:tabs>
                <w:tab w:val="left" w:pos="4005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1.2.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Начало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shd w:val="clear" w:color="auto" w:fill="auto"/>
            <w:tcW w:w="453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Окончание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5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449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31.12.2025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360" w:after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Раздел 2. Основные показатели деятельности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348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55"/>
        <w:gridCol w:w="283"/>
        <w:gridCol w:w="851"/>
        <w:gridCol w:w="1494"/>
        <w:gridCol w:w="1417"/>
        <w:gridCol w:w="65"/>
        <w:gridCol w:w="1783"/>
      </w:tblGrid>
      <w:tr>
        <w:tblPrEx/>
        <w:trPr>
          <w:cantSplit/>
        </w:trPr>
        <w:tc>
          <w:tcPr>
            <w:shd w:val="clear" w:color="auto" w:fill="auto"/>
            <w:tcW w:w="44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Код строки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47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  <w:trHeight w:val="322"/>
        </w:trPr>
        <w:tc>
          <w:tcPr>
            <w:shd w:val="clear" w:color="auto" w:fill="auto"/>
            <w:tcW w:w="445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49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утвержденное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  <w:footnoteReference w:id="2"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тыс.руб.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shd w:val="clear" w:color="auto" w:fill="auto"/>
            <w:tcW w:w="32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фактически достигнутое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445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49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тыс.руб.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7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 аналогичный период прошлого года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тыс.руб.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2.1. Показатели для обобщенного анализа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а) данные о доходах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Сумма поступлений учреждения согласно утвержденному плану финансово-хозяйственной деятельности учреждения, в том числе: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265 131,4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272 411,5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299 505,5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Поступления учреждения от приносящей доход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193 452,1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200 732,2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149 945,4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Субсидии на выполнение гос. задания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69 747,4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69 747,4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64 627,3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Иные субсидии, предоставленные из бюджета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1 931,9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1 931,9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84 932,8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Сумма фактических расходов учреждения 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367 816,0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298 859,0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199 482,0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б) данные о кредиторской задолженности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Перед областным бюджетом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 нее просроченная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Перед государственными внебюджетными фондами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 нее просроченная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оплате труда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 нее просроченная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Период просрочки по заработной плате (в месяцах)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в) данные о дебиторской задолженности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оплате услуг для государственных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нужд,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 нее просроченная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Задолженность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Задолженность областного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47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Задолженность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36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Раздел 3. Сведения о недвижимом имуществе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36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(тысяч рублей)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06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254"/>
        <w:gridCol w:w="36"/>
        <w:gridCol w:w="1515"/>
        <w:gridCol w:w="8"/>
        <w:gridCol w:w="992"/>
        <w:gridCol w:w="35"/>
        <w:gridCol w:w="1666"/>
        <w:gridCol w:w="59"/>
        <w:gridCol w:w="1500"/>
      </w:tblGrid>
      <w:tr>
        <w:tblPrEx/>
        <w:trPr>
          <w:cantSplit/>
        </w:trPr>
        <w:tc>
          <w:tcPr>
            <w:shd w:val="clear" w:color="auto" w:fill="auto"/>
            <w:tcW w:w="42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shd w:val="clear" w:color="auto" w:fill="auto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Балансовая/инвентаризац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ионная стоимость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износа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Доходы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W w:w="42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перечисленные в 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gridSpan w:val="9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3.1. Недвижимое имущество, сданное в аренду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07"/>
        </w:trPr>
        <w:tc>
          <w:tcPr>
            <w:gridSpan w:val="2"/>
            <w:shd w:val="clear" w:color="auto" w:fill="auto"/>
            <w:tcW w:w="429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515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W w:w="1035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172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9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3.2. Недвижимое имущество, используемое в целях получения дохода, с указанием способа его использования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3"/>
        </w:trPr>
        <w:tc>
          <w:tcPr>
            <w:shd w:val="clear" w:color="auto" w:fill="auto"/>
            <w:tcW w:w="42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shd w:val="clear" w:color="auto" w:fill="auto"/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gridSpan w:val="9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3.3. Неиспользуемое недвижимое имущество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W w:w="10065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Приложение 2 к Разделу 1. Св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едения о государственном бюджетном учреждении культуры Ленинградской области «Государственный историко-архитектурный и природный музей-заповедник «Парк Монрепо» , включающие осн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вные пок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азатели его финансово-хозяйственной 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  <w:t xml:space="preserve">3.4. Общее количество объектов</w:t>
            </w:r>
            <w:r>
              <w:rPr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  <w:t xml:space="preserve">недвижимого имущества </w:t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  <w:t xml:space="preserve">(за исключением п. 3.1, 3.2, 3.3.)</w:t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highlight w:val="white"/>
                <w:shd w:val="clear" w:color="auto" w:fill="ffffff"/>
              </w:rPr>
              <w:t xml:space="preserve">Приложение 3 к Разделу 1. Сведения о 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осударственном бюджетном учреждении культуры Ленинградской области «Государственный историко-архитектурный и природный музей-зап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оведник «Парк Монрепо»</w:t>
            </w:r>
            <w:r>
              <w:rPr>
                <w:rFonts w:ascii="Times New Roman" w:hAnsi="Times New Roman" w:cs="Times New Roman"/>
                <w:sz w:val="28"/>
                <w:highlight w:val="white"/>
                <w:shd w:val="clear" w:color="auto" w:fill="ffffff"/>
              </w:rPr>
              <w:t xml:space="preserve">, включающие основные показатели его финансово-хозяйственной деятельности</w:t>
            </w:r>
            <w:r>
              <w:rPr>
                <w:rFonts w:ascii="Times New Roman" w:hAnsi="Times New Roman" w:cs="Times New Roman"/>
                <w:sz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  <w:shd w:val="clear" w:color="auto" w:fill="ffffff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before="36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Раздел 4. Критерии и показатели эффективности и результативности  основного вида деятельности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 и его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ру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ководителя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tbl>
      <w:tblPr>
        <w:tblpPr w:horzAnchor="page" w:tblpX="483" w:vertAnchor="text" w:tblpY="442" w:leftFromText="180" w:topFromText="0" w:rightFromText="180" w:bottomFromText="0"/>
        <w:tblW w:w="10835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1134"/>
        <w:gridCol w:w="1642"/>
        <w:gridCol w:w="1618"/>
        <w:gridCol w:w="198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№п/п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Показатель с указанием единицы измерения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99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Утвержденное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ед. изм.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Фактически достигнутое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(в  %)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175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за отчетный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за аналогичный период прошлого года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Количество нарушений федерального и регионального законодательства при комплектовании, учете и хранении музейных предметов и музейных коллекций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Динамика доходов от приносящей доход деятельности по сравнению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 аналогичным периодом прошлого года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64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Количество поданных заявок на музейные конкурсы и гранты (по российским и международным программам)</w:t>
            </w:r>
            <w:r>
              <w:rPr>
                <w:rFonts w:ascii="Times New Roman" w:hAnsi="Times New Roman" w:cs="Times New Roman"/>
                <w:strike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4.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Внедрение дополнительных форм, проектов и методов работы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5.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trike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Выполнение учреждением показателей объема и качества государственных услуг (работ)</w:t>
            </w:r>
            <w:r>
              <w:rPr>
                <w:rFonts w:ascii="Times New Roman" w:hAnsi="Times New Roman" w:eastAsia="Calibri" w:cs="Times New Roman"/>
                <w:strike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trike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</w:rPr>
              <w:t xml:space="preserve">выполнение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Выполнение/ Невыполнение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6.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Исполнительская дисциплина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руководителя учреждения (в том числе соблюдение сроков и порядка предоставления отчетов об основной деятельности учреждения, выполнения поручений)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Наличие/ отсутствие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замечаний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замечаний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замечаний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7.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Отсутствие задолженности по налогам и сборам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Наличие/ отсутствие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8.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Соблюдение сроков и порядка представления статистической и бухгалтерской отчетности, представление качественной оперативной информации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отсут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ствие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Наличие/ отсутствие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замечаний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замечаний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замечаний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9.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Положительные отзывы о деятельности учреждения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Наличие/ отсутствие отзывов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10.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Предписания контролирующих органов, в том числе по вопросам: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- содержания имущества, закрепленного за учреждением;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  <w:lang w:eastAsia="ru-RU"/>
              </w:rPr>
              <w:t xml:space="preserve">- соблюдения требований комплексной безопасности, охраны и антитеррористической защищенности учреждения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Наличие/ отсутствие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highlight w:val="white"/>
              </w:rPr>
              <w:t xml:space="preserve">предписаний</w:t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Наличие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  <w:t xml:space="preserve">Форма заявки на участие в конкурсе на право замещения вакантной должности директора 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осударственного бюджетного учреждения культуры Ленинградской области «Государственный историко-архитектурный и природный музей-заповедник </w:t>
      </w:r>
      <w:r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«Парк Монрепо</w:t>
      </w:r>
      <w:r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</w:p>
    <w:tbl>
      <w:tblPr>
        <w:tblW w:w="10154" w:type="dxa"/>
        <w:jc w:val="center"/>
        <w:tblLook w:val="01E0" w:firstRow="1" w:lastRow="1" w:firstColumn="1" w:lastColumn="1" w:noHBand="0" w:noVBand="0"/>
      </w:tblPr>
      <w:tblGrid>
        <w:gridCol w:w="4269"/>
        <w:gridCol w:w="1141"/>
        <w:gridCol w:w="4744"/>
      </w:tblGrid>
      <w:tr>
        <w:tblPrEx/>
        <w:trPr>
          <w:jc w:val="center"/>
        </w:trPr>
        <w:tc>
          <w:tcPr>
            <w:tcW w:w="4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aps/>
                <w:sz w:val="27"/>
                <w:szCs w:val="27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aps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aps/>
                <w:sz w:val="27"/>
                <w:szCs w:val="27"/>
                <w:highlight w:val="white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комитет 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lang w:eastAsia="ru-RU"/>
              </w:rPr>
              <w:t xml:space="preserve">от _____________________________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  <w:lang w:eastAsia="ru-RU"/>
              </w:rPr>
              <w:t xml:space="preserve">(фамилия, имя, отчество)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lang w:eastAsia="ru-RU"/>
              </w:rPr>
              <w:t xml:space="preserve">_______________________________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  <w:vertAlign w:val="superscript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 w:eastAsia="Times New Roman" w:cs="Times New Roman"/>
          <w:b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highlight w:val="white"/>
          <w:lang w:eastAsia="ru-RU"/>
        </w:rPr>
        <w:t xml:space="preserve">ЗАЯВКА</w:t>
      </w:r>
      <w:r>
        <w:rPr>
          <w:rFonts w:ascii="Times New Roman" w:hAnsi="Times New Roman" w:eastAsia="Times New Roman" w:cs="Times New Roman"/>
          <w:b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b/>
          <w:sz w:val="27"/>
          <w:szCs w:val="27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участие в конкурсе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Я, __________________________________________________________________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паспорт:__________________________________________________________________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  <w:lang w:eastAsia="ru-RU"/>
        </w:rPr>
        <w:t xml:space="preserve">(серия и номер)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  <w:lang w:eastAsia="ru-RU"/>
        </w:rPr>
        <w:t xml:space="preserve">(кем и когда выдан)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число, месяц, год рождения ________________________________________________,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адрес регистрации по месту жительства 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________________________________________________________________________,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адрес фактического проживания____________________________________________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________________________________________________________________________,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eastAsia="ru-RU"/>
        </w:rPr>
        <w:t xml:space="preserve">телефоны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ffffff" w:themeColor="background1" w:fill="ffffff" w:themeFill="background1"/>
        <w:widowControl w:val="off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прошу допустить меня к участию в конкурсе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Монрепо».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положениями статьи 275 Трудового кодекса Российской Федерации и пунктом 3.2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репо»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ознакомлен(а).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567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установленной статьей 281.1 Трудо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кодекса Российской Федерации обязанностью лица, поступающего на должность руководителя государственного учреждения, представить работодателю (при поступлении на работу)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законом, ознакомлен(а) и согласен(а).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датой, временем и местом проведения конкурса ознакомлен(а).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условиями проведения конкурса, порядком и критериями определения победителя ознакомлен(а) и согласен(а).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Приложение: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«____»______________2026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            _______________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708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 xml:space="preserve">(дата)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  <w:lang w:eastAsia="ru-RU"/>
        </w:rPr>
        <w:tab/>
        <w:t xml:space="preserve">(подпись)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</w:r>
    </w:p>
    <w:p>
      <w:pPr>
        <w:shd w:val="nil" w:color="auto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  <w:lang w:eastAsia="zh-CN"/>
        </w:rPr>
        <w:br w:type="page" w:clear="all"/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contextualSpacing w:val="0"/>
        <w:jc w:val="center"/>
        <w:spacing w:before="0" w:after="200" w:line="283" w:lineRule="atLeast"/>
        <w:rPr>
          <w:rFonts w:ascii="Times New Roman" w:hAnsi="Times New Roman" w:cs="Times New Roman"/>
          <w:b/>
          <w:bCs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СОГЛАСИЕ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contextualSpacing w:val="0"/>
        <w:jc w:val="center"/>
        <w:spacing w:before="0" w:after="200" w:line="283" w:lineRule="atLeast"/>
        <w:rPr>
          <w:rFonts w:ascii="Times New Roman" w:hAnsi="Times New Roman" w:cs="Times New Roman"/>
          <w:b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zh-CN"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200" w:line="283" w:lineRule="atLeas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firstLine="567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Настоящим заявлением я, 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(ФИО заявителя)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проживающий(-ая) по адресу: 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наименование документа, удостоверяющего личность 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серия ____номер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выдан «___» _______________ года, кем 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(наименование органа, выдавшего документ)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действуя свободно, по своей волей 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своем интересе, в соответстви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 частью 1 статьи 9 Федеральног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о закона от 27 июля 2006 года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152-ФЗ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«О персональных данных»,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 целью участия в конкурсе на право замещения вакантной должности директора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директора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Государственного бюджетного учреждения культуры Ленинградской области «Государственный историко-архитектурный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 природный музей-заповедник «Парк Монрепо»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даю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согласие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на обработку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(любое действие (операцию) или совокупность действий (операций),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совершае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мых с использованием средств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автоматизации или без использования таких средств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 персональными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данными,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включая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сбор (получение), запись, систематизацию,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накопление, хранение,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уточнение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(обновление, изменение), извлечение, использование,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передачу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предоставление,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доступ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), обез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личивание,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блокирование, удаление, уничтожение) следующих персональных данных: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2. Дата рождения (число, месяц и год рождения).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3. Место рождения.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4. Вид, серия, номер паспорта или документа, его заменяющего, наименование органа и код подразделения органа (при наличии), выдавшего его, дата выдачи.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5. Реквизиты основ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на территорию Российской Федерации (серия, номер, когда и кем выдан).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6. Фотографии (размером 4 x 6 (1 штука), в том числе матовые, цветные, в овале).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7. Сведения о гражданстве (подданстве), в том числе прежнем, когда и по какой причине изменялось, а также вида на жительство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 (или) иного документа, подтверждающего право на постоянное проживание на территории иностранного государства (срок его действия), ходатайств о выезде (въезде) на постоянное место жительства в другое государство (дата подачи заявления, какое государство).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8. Адрес и дата регистрации по месту жительства (пребывания).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9. Адрес фактического проживания (нахождения).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10. Номера телефонов (домашнего, служебного, мобильного).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11. Почтовый адрес и адрес электронной почты.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12. Сведения о семейном положении, о составе семьи.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13. Сведения, содержащиеся в свидетельствах о государственной регистрации актов гражданского состояния.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14. Сведения об образовании (наименование образовательной и (или) иной организации, год окончания, уровень образования и (или) квалификаци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аттестата), иные сведения, содержащиеся в документе об образовании.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Сведения о дополнительном профессиональном образовании (профессиональной переподготовке, повышении квалификации) (наименование образовател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16. Сведения о владении иностранными языками и языками народов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17.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18. Сведения о классном чине (квалификационном разряде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) государственной службы Российской Федерации, муниципальной службы, дипломатическом ранге, воинском и (или) специальном звании, включая отношение к воинской обязанности, классном чине юстиции, классном чине прокурорских работников (кем и когда присвоены).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19. Сведения о родителях (в том числе усыновителях), детях (в том числе усыновленных и находящихся под опекой (поп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ечительством), сестрах и братьях (полнородных и неполнородных), супругах (в том числе бывших) (степень родства, фамилия, имя, отчество (при наличии), дата рождения, место рождения, место работы (службы) и адрес регистрации по месту жительства (пребывания).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20. Сведения о форме и дате оформления допуска к государственной тайне, ранее имевшегося и (или) имеющегося.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21. Сведения о государственных наградах, иных наградах и знаках отличия (кем награжден(а) и когда).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22. Сведения о пребывании за границей (когда, где, с какой целью).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23. Сведения о родителях (в том числе усыновителях), детях (в том числе усыновленных), сестрах и братьях, (полнородных и непо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лнородных), а также супругах (в том числе бывших),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наличии), с какого времени проживают за границей.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24. Сведения, содержащиеся в страховом свидетельстве обязательного пенсионного страхования.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25. Сведения, содержащиеся в свидетельстве о присвоении идентификационного номера налогоплательщика.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26. Сведения, содержащиеся в страховом медицинском полисе обязательного медицинского страхования.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27. Сведения, содержащиеся в документах воинского учета.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28. Сведения о наличии (отсутствии) судимости, в том числе снятой или погашенной.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29.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Сведения о публикациях по направлениям профессиональной деятельности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br/>
        <w:t xml:space="preserve">(при наличии);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426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30.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Иные сведения, которые я пожелал(а) сообщить о себе,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связанных с подачей и рассмотрением заявки на участие в конкурсе на право замещения вакантной должности руководителя (директора)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Государственного бюджетного учреждения культуры Ленинградской области «Государственный историко-архитектурный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 природный музей-заповедник «Парк Монрепо»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то есть на совершение действий, предусмотренных пунктом 3 статьи 3 Федеральног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о закона от 27 июля 2006 года 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152-ФЗ «О персональн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ых данных», включая их сбор, 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в целях рассмотрения данной заявки, комитету по сохранению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Ленинградской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191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311, г. Санкт-Петербург, ул. Смольного, д. 3,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литера 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), иным органам и организа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циям, участвующим в его рассмотрении на основании законодательства.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567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Я уведомлен о том, что в случае участия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конкурсе комитет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по сохранению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имеет право осуществлять обработку персональных данных с иными уполномоченными органами и организациями в целях и объеме, которые необходимы для надлежащего проведения конкурса.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567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Обработка персональных данных осуществляется с использованием средств автоматизации, а также без применения таких средств.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567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Согласие на обработку персональных данных, содержащихся в настоящем заявлении, действует с даты его подпи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сания до даты подачи заявления об отзыве указанного согласия в письменной форме. Отзыв согласия на обработку персональных данных не препятствует их обработке при наличии оснований, предусмотренных частью 2 статьи 9 Федерального закона от 27 июля 2006 года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152-ФЗ «О персональных данных».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left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«___» ___________ ________ г. /_______________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/ 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jc w:val="both"/>
        <w:spacing w:before="0" w:after="200" w:line="283" w:lineRule="atLeast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zh-CN"/>
        </w:rPr>
        <w:t xml:space="preserve">(подпись, фамилия и инициалы заявителя)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hd w:val="nil" w:color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 w:eastAsiaTheme="majorEastAsia"/>
          <w:b/>
          <w:bCs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Раздел 3. 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Требования к составу и содержанию документов, представляемых вместе с заявкой на участие в конкурсе на право замещения вакантной должности директора 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осударственного бюджетного учреждения культуры Ленинградской области «Государственный историко-архитектурн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ый и природный музей-заповедник «Парк Монрепо»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Лица, желающие принять участие в конкурсе, лично подают в комитет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сохранению культурного наследия Ленинградской области (далее - организатор конкурса) заявку, которая должна быть подготовлена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вии требованиями настоящей конкурсной документации.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заявки представляется документ, удостоверяющий личность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Заявки принимаются в двойных конвертах.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Во внешнем конверте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должны содержаться: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3" w:name="Par4"/>
      <w:r>
        <w:rPr>
          <w:highlight w:val="white"/>
        </w:rPr>
      </w:r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заявка, включающая согласие заявителя с условиями, изложенными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конкурсной документации;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собственноручно заполненная и подписанная анкета заявителя по форме анкеты для поступления на государственную службу Российской Федерации и муниципальную служб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 в Российской Федерации, утвержденной Указом Президента Российской Федерации от 10 октября 2024 года № 870 (далее - анкета заявителя);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копия трудовой книжки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сведения о трудовой деятельности, или иные документы, подтверждающие трудовую (служебную)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еятельность кандидата, в том числе документы, подтверждающие прохождение военной или иной службы;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копии документов об образовании и(или) о квалификации, документов о присвоении ученой степени, ученого звания, заверенные нотариально или кадровой службой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месту службы (работы);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справка о наличии (отсутствии) судимости и(или) факта уголовного преследования либо о прекращении уголовного преследования;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список публикаций по направлениям профессиональной деятельности (при наличии).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Заявитель вправе предста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вить другие документы, не предусмотренные настоящим Положением, характеризующие личность заявителя, его деловую репутацию и профессиональную квалификацию.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Во внутреннем запечатанном конверте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должны содержаться предложения участника конкурса по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работы учреждения, обеспечивающие улучш</w:t>
      </w:r>
      <w:bookmarkStart w:id="4" w:name="_Toc450749721"/>
      <w:r>
        <w:rPr>
          <w:highlight w:val="white"/>
        </w:rPr>
      </w:r>
      <w:bookmarkStart w:id="5" w:name="_Toc450749840"/>
      <w:r>
        <w:rPr>
          <w:highlight w:val="white"/>
        </w:rPr>
      </w:r>
      <w:bookmarkStart w:id="6" w:name="_Toc450754140"/>
      <w:r>
        <w:rPr>
          <w:highlight w:val="white"/>
        </w:rPr>
      </w:r>
      <w:bookmarkStart w:id="7" w:name="_Toc101436446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ение основных показателей его деятельности.</w:t>
      </w:r>
      <w:r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</w:r>
    </w:p>
    <w:p>
      <w:pPr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color w:val="ff0000"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Раздел 4. </w:t>
      </w:r>
      <w:bookmarkEnd w:id="4"/>
      <w:r>
        <w:rPr>
          <w:highlight w:val="white"/>
        </w:rPr>
      </w:r>
      <w:bookmarkEnd w:id="5"/>
      <w:r>
        <w:rPr>
          <w:highlight w:val="white"/>
        </w:rPr>
      </w:r>
      <w:bookmarkEnd w:id="6"/>
      <w:r>
        <w:rPr>
          <w:highlight w:val="white"/>
        </w:rPr>
      </w:r>
      <w:bookmarkEnd w:id="7"/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Условия проведения конкурса на право замещения вакантной должности директора 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осударственного бюджетного учреждения культуры Ленинградской области «Государственн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ый историко-архитектурный и природный музей-заповедник «Парк Монрепо»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 на право замещения вакантной должности директора государственного бюджетного учреждения культуры Ленинградской области «Государственный историко-архитектурный и природный музей-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заповедник «Парк Монрепо»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учреждение) проводится в соответствии с Положением о назначении руководителя государственного унитарного предприятия (государственного автономного, бюджетного или казенного учреждения) в Ленинградской области, утвержденны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постановлением Правительства Ленинградской области от 29 мая 2020 года № 344.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Организатором конкурса выступает комитет по сохранению культурного наследия Ленинградской области (далее – организатор конкурса, комитет).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Лица, желающие принять участие в конк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урсе, лично подают организатору конкурса заявку, которая должна быть подготовлена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требованиями конкурсной документации.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заявки предъявляется документ, удостоверяющий личность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 конкурса обязан зарегистрировать заявку, отвечающую требованиям, содержащимся в конкурсной документации, в день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ее представления и выдать расписку заявителю, подтверждающую прием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регистрацию заявки с указанием даты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Прием заявок прек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ращается по истечении срока приема и регистрации заявок, указанного организатором конкурса в информационном сообщении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проведении конкурса.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Участниками конкурса могут быть граждане, имеющие высшее профессиональ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ное образование по направлениям подготовки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«Культура </w:t>
        <w:br/>
        <w:t xml:space="preserve">и искусство», «Экономика и управление», «Юриспруденция», «Образование </w:t>
        <w:br/>
        <w:t xml:space="preserve">и педагогические науки»,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«Инженерное дело, технологии и технические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ауки»,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«Социология и социальная работа»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аж работы на руководящих должностях в музеях или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чреждениях культуры не менее 5 лет.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Заявки принимаются в соответствии с Разделом 3 настоящей конкурсной документации.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допускаются к участию в конкурсе лица: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признанные в установленном порядке недееспособными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или ограниченно дееспособными;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лишенны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в установленном порядке права занимать руководящие должности на определенный срок;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не соответствующие квалификационным требованиям к вакантной должности руководителя учреждения.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рганизатор конкурса производит прием заявок и документов, регистрацию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хранение таких заявок и документов. 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 конкурса обязан зарегистрировать заявку, отвечающую требованиям, содержащимся в конкурсной документации, в журнале учета поступивших заявок в день ее представления и выдать расписку заявителю, подтверждающую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прием и регистрацию заявки с указанием даты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представленные для регистрации документы не отвечают требованиям, содержащимся в конкурсной документации, а также в случае, если заявитель не соответствует квалификационным требованиям, пре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дъявляемым к кандидатам на замещение вакантной должности руководителя учреждения, организатор конкурса в течение трех рабочих дней направляет заявителю письменное уведомление об отказе в приеме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регистрации заявки с указанием причин отказа.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окончании срока приема и регистрации заявок последние не поступили либо зарегистрировано не более одной заявки, организатор конкурса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объявляет конкурс несостоявшимся;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продлевает срок приема и регистрации заяво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к, переносит дату проведения конкурса не более чем на 30 дней и размещает соответствующую информацию в порядке, установленном конкурсной комиссией.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день проведения конкурса, указанный в конкурсной документации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информационном сообщении о проведении кон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курса, конкурсная комиссия после вскрытия конвертов и ознакомления с содержанием заявок участников конкурса проводит персональное собеседование с каждым участником конкурса. Очередность собеседования с участниками конкурса устанавливается в зависимости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даты регистрации заявок.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проведения собеседования конкурсная комиссия: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заслушивает предложения участника конкурса по организации работы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выявляет уровень подготовки участника конкурса по последующим направлениям: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основы планирова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 деятельности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основы финансирования и организации бухгалтерского учета;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основы организации управления;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технология основного производства (вида деятельности)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основы законодательства о труде;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основные требования охраны тр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вопросы управления и распоряжения государственным имуществом.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завершении собеседования со всеми участниками конкурса конкурсная комиссия проводит обсуждение уровня подготовки и качества знаний кандидата по каждому из направлений и его предложений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организации работы учреждения.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Всем членам конкурсной комиссии, присутствующим на ее заседании, выдаются конкурсные бюллетени, содержащие перечень участников конкурса. Члены конкурсной комиссии вносят в конкурсные бюллетени сравнительные оценки участн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иков конкурса по пятибальной системе и передают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их секретарю комиссии.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Секретарь конкурсной комиссии суммирует баллы, набранные каждым участником конкурса, заносит эти данные в протокол и объявляет членам комиссии.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8" w:name="Par16"/>
      <w:r>
        <w:rPr>
          <w:highlight w:val="white"/>
        </w:rPr>
      </w:r>
      <w:bookmarkEnd w:id="8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Победителем конкурса признается участник конкурса, набравший максимально возможное количество баллов.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ни один из участников конкурса не набрал максимально возможное количество баллов, определение победителя конкурса осуществляется конкурсной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комиссией путем проведения открытого голосования. Голосование проводится по двум кандидатурам участников конкурса, набравшим наибольшее количество баллов по сравнению с другими участниками конкурса. При равенстве голосов членов конкурсной комиссии решающи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является голос представителя Администрации Губернатора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Правительства Ленинградской области.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ни один из претендентов не проявил достаточных знаний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навыков для исполнения обязанностей руководителя учреждения, конкурсная комиссия принима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 решение о том, что победитель не выявлен. На основании решения конкурсной комиссии организатор конкурса принимает решение о проведении повторного конкурса.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Участники конкурса не имеют права присутствовать на заседании конкурсной комиссии при обсуждении,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оценке их уровня знаний и принятии решения по результатам конкурса.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Заседание конкурсной комиссии считается правомочным, если на нем присутствует не менее двух третей состава конкурсной комиссии.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Решение конкурсной комиссии оформляется итоговым протоколом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отражением результатов сравнительной оценки участников конкурса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результатов голосования (если последнее проводилось). Итоговый протокол подписывается членами конкурсной комиссии, присутствующими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заседании, и председателем конкурсной комиссии.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седание конкурсной комиссии завершается ознакомлением участников конкурса с его результатами.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 конкурса по требованию участников конкурса выдает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им выписки из итогового протокола заседания конкурсной комиссии в срок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позднее трех рабочих дне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со дня заседания конкурсной комиссии.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Все документы по проведению конкурса формируются в дело и хранятся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br/>
        <w:t xml:space="preserve">в архиве организатора конкурса в течение трех лет.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highlight w:val="white"/>
        </w:rPr>
      </w:r>
      <w:bookmarkStart w:id="9" w:name="Par1"/>
      <w:r>
        <w:rPr>
          <w:highlight w:val="white"/>
        </w:rPr>
      </w:r>
      <w:bookmarkEnd w:id="9"/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На основании итогового протокола конкурсной комиссии комитет издает распоряжение о назначении победителя конкурса на должность директора учреждения на условиях трудового договора, заключаемого по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соответствии с действующим законодательством в срок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не позднее 30 дней со дня заседания конкурсной комиссии.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Срок издания распоряжения и заключения трудового договора приостанавливается в случае принятия решения о проведении проверки достоверности и полноты представленных победителем конкурса сведений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br/>
        <w:t xml:space="preserve">о с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воих доходах, об имуществе и обязательствах имущественного характера своих супруги (супруга) и несовершеннолетних детей на срок проведения такой проверки.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Споры, возникающие в связи с решением организатора конкурса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br/>
        <w:t xml:space="preserve">о недопущении заявителя к участию в конк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урсе и решением конкурсной комиссии по результатам конкурса, могут быть обжалованы в суде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Документы, представленные в составе заявки, возврату участникам (победителю) конкурса не подлежат.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highlight w:val="white"/>
        </w:rPr>
      </w:r>
      <w:bookmarkStart w:id="10" w:name="_Toc101436447"/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br w:type="page" w:clear="all"/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Раздел 5. </w:t>
      </w:r>
      <w:bookmarkEnd w:id="10"/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Критерии определения победителя конкурса на право замещения вакантной должности директора 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осударственного бюджетного учреждения культуры Ленинградской области «Государственный историко-архитектурный и природный музей-заповедник «Парк Монрепо»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В ходе проведения собеседования конкурсная комиссия: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1. Выявляет уровень подготовки участника конкурса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по следующим направлениям: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планирования деятельности учреждения;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финансирования и организации бухгалтерского учета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br/>
        <w:t xml:space="preserve">в учреждении;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организации управления учреждением;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трудового законодательства;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основные требования охраны труда;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антикоррупционного законодательства;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вопросы управления и распоряжения государственным имуществом;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законодательства в сфере культуры;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 законодательства в сфере сохранения культурного наследия; 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основы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2. Выявляет наличие навыков публичного выступления, общей грамотности.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white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результатам оценки конкурсная комиссия оценивае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 уровень подготовки и качество знаний участника конкурса по каждому из направлений и его предложения по организации работы государственного бюджетного учреждения культуры Ленинградской области «Государственный историко-архитектурный и природный музей-запо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ведник «Парк Монрепо», обеспечивающих улучшение основных показателей его деятельности.</w:t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4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bookmarkStart w:id="11" w:name="_Toc101436448"/>
      <w:r>
        <w:rPr>
          <w:highlight w:val="white"/>
        </w:rPr>
      </w:r>
      <w:r>
        <w:rPr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Раздел 6. Проект трудового договора, заключаемого с победителем конкурса по результатам конкурса</w:t>
      </w:r>
      <w:bookmarkEnd w:id="11"/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 на право замещения вакантной должности директора г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осударственного бюдж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етного учреждения культуры Ленинградской области «Государственный историко-архитектурный и природный музей-заповедник «Парк Монрепо»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ТРУДОВОЙ ДОГОВОР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директором государственного бюджетного учреждения культуры Ленинградской области «Государственный истор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ико-архитектурный и природный музей-заповедник «Парк Монрепо»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Санкт-Петербург                                          «  ___  »  ________  2026 год</w:t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Комитет по сохранению культурного наследия Ленинградской области, именуемый в дальнейшем «Работодатель», в лице ________________________________________________________________________, действующего на основании Положения о комитете, утвержденного Постанов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лением Правительства Ленинградской области от 24 декабря 2020 года № 850, с одной стороны, и ________________________, именуемый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дальнейшем «Руководитель»,  назначенный на должность директора государственного бюджетного учреждения культуры Ленинградской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области «Государственный историко-архитектурный и природный музей-заповедник «Парк Монрепо», именуемого в дальнейшем учреждением, с другой стороны (далее - стороны),  заключили настоящий Договор о нижеследующем:</w:t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9"/>
        </w:numPr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150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0"/>
        </w:numPr>
        <w:ind w:left="0" w:firstLine="567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Настоящий трудовой Догово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 регулирует отношения между работодателем и руководителем, связанные с выполнением руководителем обязанностей по должности руководителя учреждения (присвоен 2 класс условий труда), зарегистрированного по адресу: 188800, Ленинградская область, г. Выборг,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арк Монрепо, д. 1.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20"/>
        </w:numPr>
        <w:ind w:left="-113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Настоящий трудовой Договор заключается на 5 лет. 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numPr>
          <w:ilvl w:val="0"/>
          <w:numId w:val="20"/>
        </w:numPr>
        <w:ind w:left="-113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Настоящий трудовой Договор является Договором по основной работе.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numPr>
          <w:ilvl w:val="0"/>
          <w:numId w:val="20"/>
        </w:numPr>
        <w:ind w:left="-113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приступает к исполнению обязанностей 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«___» _________ 2026 года.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pStyle w:val="989"/>
        <w:numPr>
          <w:ilvl w:val="0"/>
          <w:numId w:val="20"/>
        </w:numPr>
        <w:ind w:left="0" w:firstLine="567"/>
        <w:shd w:val="clear" w:color="ffffff" w:themeColor="background1" w:fill="ffffff" w:themeFill="background1"/>
        <w:rPr>
          <w:rFonts w:ascii="Times New Roman" w:hAnsi="Times New Roman" w:cs="Times New Roman"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pacing w:val="4"/>
          <w:sz w:val="28"/>
          <w:szCs w:val="28"/>
          <w:highlight w:val="white"/>
        </w:rPr>
        <w:t xml:space="preserve">Местом работы руководителя является учре</w:t>
      </w:r>
      <w:r>
        <w:rPr>
          <w:rFonts w:ascii="Times New Roman" w:hAnsi="Times New Roman" w:cs="Times New Roman"/>
          <w:bCs/>
          <w:spacing w:val="4"/>
          <w:sz w:val="28"/>
          <w:szCs w:val="28"/>
          <w:highlight w:val="white"/>
        </w:rPr>
        <w:t xml:space="preserve">ждение.  </w:t>
      </w:r>
      <w:r>
        <w:rPr>
          <w:rFonts w:ascii="Times New Roman" w:hAnsi="Times New Roman" w:cs="Times New Roman"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pacing w:val="4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numPr>
          <w:ilvl w:val="0"/>
          <w:numId w:val="19"/>
        </w:numPr>
        <w:ind w:left="0" w:firstLine="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Права и обязанности руководителя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142" w:firstLine="562"/>
        <w:jc w:val="both"/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 Руководитель является единоличным исполнительным органом учреждения, осуществляющим текущее руководство его деятельностью.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Руководитель самостоятельно осуществляет руководство деятельностью учреждения в соответствии с законодательством Российской Федерации, законодательством Ленинградской области, нормативными правовыми актами органов местного самоуправления, уставом учрежд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ения, коллективным договором, соглашениями, локальными нормативными актами, настоящим трудовым договором, за исключением вопросов, принятие решений по которым отнесено законодательством Российской Федерации к ведению иных органов и должностных лиц.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ind w:firstLine="425"/>
        <w:jc w:val="both"/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8. Руко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водитель имеет право на: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pacing w:val="4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осуществление действий без доверенности от имени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 выдачу доверенности, в том числе руководителям филиалов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представительств учреждения, совершение иных юридически значимых действий;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открытие (закрытие) в устан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овленном порядке счетов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 распределение обязанностей между своими заместителями,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в случае необходимости – передачу им своих полномочий в установленном порядке;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утверждение в установленном порядке структуры и штатного расписания учреждения, принятие локальных нормативных актов, утверждение положений о структурных подразделениях, 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также о филиалах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представительствах учреждения (при их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ведение коллективных переговоров и заключение коллективных договоров;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з) поощрение работников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привлечение работников к дисциплинарной и материальной ответственности в соо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 решение иных вопросов, отнесенных законодательством Российской Федерации, уставом учреждения и настоящим трудовым договором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компетенции руководителя;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л) получение своевременно и в полном объеме заработной платы;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предоставление ему ежегодного оплачиваемого отпуска;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н) повышение квалификации.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42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9. Руководитель обязан: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соблюдать при исполнении должностных обязанностей требования законодательства Россий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ской Федерации, законодательства Ленинградской области, нормативными правовыми актами органов местного самоуправления,  устава учреждения, коллективного договора, соглашений, локальных нормативных актов и настоящего трудового договора;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 обеспечивать эффе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ктивную деятельность учреждения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его структурных подразделений, организацию административно- хозяйственной, финансовой и иной деятельности учреждения;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обеспечивать планирование деятельности учреждения с учетом средств, получаемых из всех источников,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 запрещенных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обеспечивать целевое и эффективное использование денежных средств учреждения, а также имущества, переданного учреждению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оперативное управление в установленном порядке;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обеспечивать своевремен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ное и качественное выполнение всех договоров и обязательств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 обеспечивать работникам учреждения безопасные условия труда, соответствующие государственным нормативным требованиям охраны труда,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а также социальные гарантии в соответствии с зако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ж) 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з) обеспечивать разработку в установленном поря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дке правил внутреннего трудового распорядка,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требовать соблюдения работниками учреждения правил внутреннего трудового распорядка;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к) обеспечивать выплату в полном размере заработной платы, пособий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иных выплат работникам учреждения в соответствии с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конодательством Российской Федерации, коллективным договором, правилами внутреннего трудового распорядка и трудовыми договорами;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л) не разглашать сведения, составляющие государственную или иную охраняемую законом тайну, ставшие известными ему в связи с исп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олнением своих должностных обязанностей;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обеспечивать выполнение требований законодательства Российской Федерации по гражданской обороне и мобилизационной подготовке;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н) обеспечивать соблюдение законодательства Российской Федерации при выполнении финанс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ово- хозяйственных операций, в том числе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о) представлять работодателю проекты планов деятельности учреждения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отчеты об исполнении этих планов в порядке и сроки, которые установлены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п) обеспечивать выполнение всех плановых показателей деят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ельности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р) обеспечивать своевременное выполнение нормативных правовых актов и локальных актов работодателя;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с) своевременно информировать работодателя о начале проведения проверок деятельности учреждения контрольными и правоохранительными 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ганами и об их результатах, о случаях привлечения работников учреждения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административной и уголовной ответственности, связанных с их работой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учреждении, а также незамедлительно сообщать о случаях возникновения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учреждении ситуации, представляющей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грозу жизни здоровью работников;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т) осуществить при расторжении настоящего трудового договора передачу дел учреждения вновь назначенному руководителю в установленном порядке;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у) представлять в случае изменения персональных данных соответствующие документы работодателю не позднее 30 дней со дня получения  соответствующих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ф) информировать работодателя о своей временной нетрудоспособности, а также об отсутствии на рабо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чем месте по другим уважительным причинам;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х) представлять работодателю в установленном порядке сведения о доходах,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предусмотренные Федеральным </w:t>
      </w:r>
      <w:hyperlink r:id="rId16" w:tooltip="https://cons-ud.lenreg.ru/cgi/online.cgi?req=doc&amp;base=LAW&amp;n=523306&amp;date=26.03.2026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«О противодействии коррупции», и сведения о расходах, предусмотренные Федеральным </w:t>
      </w:r>
      <w:hyperlink r:id="rId17" w:tooltip="https://cons-ud.lenreg.ru/cgi/online.cgi?req=doc&amp;base=LAW&amp;n=523305&amp;date=26.03.2026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«О контроле за соответствием расходов лиц, замещающих государственные должности, и иных лиц их доходам», в случаях, установленных указанными федеральными законами;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ц) обеспечивать достижение установленных учреждению ежегодных значений показателей соотноше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 средней заработной платы отдельных категорий работников учреждения со средней заработной платой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Ленинградской области, указанных в дополнительном соглашении, являющемся неотъемлемой частью трудового договора (в случае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их установления);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ч) обеспечив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ать соблюдение работниками положений локальных нормативных актов учреждения (организации) в сфере предупреждения коррупции,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принимать меры по предотвращению или урегулированию конфликта интересов, если ему стало известно о возникновении у 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ботника личной заинтересованности, которая приводит или может привести к конфликту интересов;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принимать меры по предотвращению или урегулированию конфликта интересов, стороной которого он является (может являться).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ш) уведомить в письменной форме работод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ателя (учредителя)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щ) выполнять иные обязанности, предусмотренные законодательством Российской Федерации и уставом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чреждения.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9"/>
        </w:numPr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Права и обязанности работодателя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1997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 Работодатель имеет право: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осуществлять контроль за деятельностью руководителя и требовать от него добросовестного выполнения должностных обязанностей, предусмотренных настоящим трудовым договором, и обя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занностей, предусмотренных законодательством Российской Федерации и уставом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проводить аттестацию руководителя с целью оценки уровня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его квалификации и соответствия занимаемой должности;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принимать в установленном порядке решения о направл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ении руководителя в служебные командировки;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привлекать руководителя к дисциплинарной и материальной ответственности в случаях, предусмотренных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поощрять руководителя за эффективную работу учреждения.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6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11. Работод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атель обязан: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соблюдать требования законодательных и иных нормативных  правовых актов, а также условия настоящего трудового договора;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обеспечивать руководителю условия труда, необходимые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для его эффективной работы;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устанавливать с учетом показателей эффективности деятельности учреждения показатели эффективности работы руководителя в целях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его стимулирования, в том числе выполнение квоты по приему на работу инвалидов;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в(1) проводить оценку эффективности работы рук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оводителя с учетом результатов независимой оценки качества условий оказания услуг учреждением и  выполнения плана по устранению недостатков, выявленных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ходе проведения независимой оценки качества условий оказания услуг учреждением (в случае проведения 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акой оценки);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уведомлять руководителя о предстоящих изменениях условий настоящего трудового договора, определенных сторонами, а также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причинах, вызвавших необходимость таких изменений, в письменной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позднее, чем за 2 месяца, если иное не пре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дусмотрено Трудовым кодексом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осуществлять в установленном законодательством Российской Федерации порядке финансовое обеспечение деятельности учреждения;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выполнять иные обязанности, предусмотренные законодательством Российской Фе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дерации, законодательством Ленинградской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нормативными правовыми актами органов местного самоуправления.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89"/>
        <w:numPr>
          <w:ilvl w:val="0"/>
          <w:numId w:val="19"/>
        </w:numPr>
        <w:ind w:left="0" w:firstLine="1277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Рабочее время и время отдыха руководителя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1277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12. Руководителю устанавливается: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продолжительность рабочей недели – 40 часов;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количество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выходных дней в неделю – 2;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продолжительность ежедневной работы – 8 часов;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ненормированный рабочий день;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ежегодный основной оплачиваемый отпуск продолжительностью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28 календарных дней.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13. Перерывы для отдыха и питания руководителя устанавливаютс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 правилами внутреннего трудового распорядка учреждения.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14. Руководителю предоставляются: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а) ежегодный дополнительный оплачиваемый отпуск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за ненормированный рабочий день продолжительностью 3 календарных дня;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15. Ежегодные оплачиваемые отпуска предоставляются руководителю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соответствии с графиком в сроки, согласованные с работодателем.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Оплата труда руководителя и другие выплаты,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осуществляемые в рамках трудовых отношений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16. Заработная плата руководителя состоит из должностного оклада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выплат компенсационного и стимулирующего характера, устанавливаемых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настоящим трудовым договором.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 Должностной оклад руководителя устанавливается в размере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112 164,00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рублей в месяц.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footnoteReference w:id="3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 Руководителю в соответствии с законодательством Российской Федерации и решениями работодателя производятся следующие выплаты компенсационного характера: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3"/>
        <w:gridCol w:w="3827"/>
        <w:gridCol w:w="311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выплаты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Условия осуществления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выплаты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Повышенная оплата за работу в выходные и нерабочие праздничные дни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Если работа в выходной или нерабочий праздничный день производилась в пределах месячной нормы рабочего времени.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Выплачивается на основании распоряжения Работодателя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размере одинарной ча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сти должностного оклада за день или час работы сверх должностного оклада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Если работа в выходной или нерабочий праздничный день производилась сверх нормы рабочего времени.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Выплачивается на основании распоряжения Работодателя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размере двойной части должностного оклада за день или час работы сверх должностного оклада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19.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качестве поощрения руководителю устанавливаются следующие стимулирующие выплаты: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349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3"/>
        <w:gridCol w:w="3827"/>
        <w:gridCol w:w="311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выплаты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Условия осуществления выплаты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выплаты при достижении условий ее 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(в рублях или процентах)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0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Премиальная выплата по итогам работы за квартал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Устанавливается ежеквартально с учетом корректирующего коэффициента показателей эффективности и результативности деятельности (далее – КПЭ)  учреждения  по итогам работы за прошедший квартал.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Выплачивается на основании распоряжения Работодателя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Разме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 премиальной выплаты по итогам работы за квартал определяется по формуле в соответствии с приказом комитета по сохранению культурного наследия Ленинградской области от 18.03.2021 № 01-03/21-29 «О реализации отдельных положений постановления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Ленинградской области от 30.04.2020 № 262».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Премиальная выплата по итогам работы за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Устанавливается ежегодно на основе оценки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 результативности деятельности учреждения по итогам работы за прошедший год с учетом итогового корректирующего КПЭ деятельности учреждения   по итогам работы за прошедший год и выплачиваются единовременно не позднее 1 февраля года, следующего за отчетным.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Начисляется за фактически отработанное время.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Выплачивается на основании распоряжения Работодателя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Размер премиальной выплаты по итогам работы за год определяется по формуле в соответствии с приказом комитета по сохранению культурного наследия Ленинград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ской области от 18.03.2021 № 01-03/21-29 «О реализации отдельных положений постановления Правительства Ленинградской области от 30.04.2020 № 262».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Премиальная выплата за выполнение особо важных (срочных) работ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Устанавливаются за выполнение особо важных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(срочных) работ, в том числе, за выполнение особо важных поручений Работодателя, а также  за организацию и проведение мероприятий с участием Губернатора Ленинградской области.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Выплачиваются на основании распоряжения Работодателя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 50 до 100 процентов до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лжностного оклада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15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Премиальные выплаты к значимым датам (событиям)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Выплачивается на основании распоряжения Работодателя: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к юбилейным датам: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(50 лет, 55 лет, 60 лет, 65 лет, 70 лет, 75 лет, 80 лет).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(в соответствии с приказом комитета по сохранению культурного наследия Ленинградской области от 18.03.2021 № 01-03/21-29 «О реализации отдельных положений постановления Правительства Ленинградской области от 30.04.2020 № 262»).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25 000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340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В связи с награждением государственными наградами Российской Федерации, ведомственными наградами федеральных органов исполнительной власти, наградами Губернатора Ленинградской области и Законодательного собрания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Выплачивается на 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сновании распоряжения Работодателя на основании нормативного правового акта соответствующего органа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20 000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74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к профессиональным праздникам: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День работника культуры; Международный день музеев.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(в соответствии с приказом комитета по сохранению культурного наследия Ленинградской области от 18.03.2021 № 01-03/21-29  «О реализации отдельных положений постановления Правительства Ленинградской области от 30.04.2020 № 262»).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30 000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283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20. Выплаты стимулирующего характера осуществляются с учетом достижения показателей эффективности деятельности учреждения и работы руководителя, утвержденных приказом комитетом по сохранению культурного наследия Ленинградской области от 18 марта 2021 года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№ 01-03/21-29.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-425" w:right="0" w:firstLine="709"/>
        <w:jc w:val="both"/>
        <w:spacing w:before="40" w:after="4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20.1 Руководителю устанавливаются следующие показатели эффективности его работы,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 приказа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комитета по сохранению культурного наследия Ленинградской области от 18.03.2021 № 01-0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3/21-29 «О реализации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отдельных положений 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от 30 апреля 2020 года № 262»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редакции от 28.03.2025 (прил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bookmarkStart w:id="12" w:name="_GoBack"/>
      <w:r>
        <w:rPr>
          <w:highlight w:val="white"/>
        </w:rPr>
      </w:r>
      <w:bookmarkEnd w:id="1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2"/>
        <w:gridCol w:w="2864"/>
        <w:gridCol w:w="1581"/>
        <w:gridCol w:w="664"/>
        <w:gridCol w:w="1949"/>
        <w:gridCol w:w="1958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Показатель эффективности (результативности) деятельности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Периодичность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Вес, %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309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Корректирующий коэффициент при отклонении фактических значений (Ф)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плановых (П)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Позитивное отклонение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Негативное отклонение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нарушений федерального и регионального законодательства при комплектовании, учете и хранении музейных предметов и музейных коллекций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нарушений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нарушений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Динамика доходов от приносящей доход деятельности по сравнению с аналогичным периодом прошлого года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Ф :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 не более 1,1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недостижении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до 10% от плана: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(Ф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недостижении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на 10% и более: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поданных заявок на музейные конкурсы и гранты (по российским и международным программам)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подаче заявок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поданных заявок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Внедрение дополнительных форм, проектов и методов работы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использовании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неиспользовании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 учреждением показателей объема и качества государственных услуг (работ)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достижении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недостижении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Исполнительская дисциплина руководителя учреждения (в том числе соблюдение сроков и порядка предоставления отчетов об основной деятельности учреждения, выполнении поручений)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замечаний руководителей структурных подразделений комитета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замечаний руководителей структурных подразделений комитета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7.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задолженности по налогам и сборам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задолженности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задолженности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8.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Соблюдение сроков и порядка представления статистической и бухгалтерской отчетности, представление качественной оперативной информации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замечаний руководителей структурных подразделений комитета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замечаний руководителей структурных подразделений комитета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Положительные отзывы о деятельности учреждения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положительных отзывов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положительных отзывов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Предписания контролирующих органов, в том числе по вопросам: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 содержания имущества, закрепленного за учреждением;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 соблюдения требований комплексной безопасности, охраны и антитеррористической защищенности учреждения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предписаний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предписаний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21. Заработная плата выплачивается руководителю в сроки, установленные Положением о системе оплаты труда работников учреждения.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22. Заработная плата перечисляется на указанный работником счет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банке.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VI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Ответственность руководителя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127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23. Руководитель несет ответственность за неисполнение или ненадлежащее исполнение обязанностей, предусмотренных законодательством Российской Федерации и настоящим трудовым договором.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24. За совершение дисциплинарного проступка, то есть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за неисполнение ил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ненадлежащее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замечание;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выговор;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увольнение по соответствующему основанию;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 иные дисциплинар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ные взыскания, предусмотренные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25. Работодатель до истечения года со дня применения дисциплинарного взыскания имеет право снять его с руководителя по собственной инициативе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или просьбе самого руководителя.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Если в 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чение года со дня применения дисциплинарного взыскания руководитель не будет подвергнут новому дисциплинарному взысканию,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он считается не имеющим дисциплинарного взыскания.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26. Руководитель несет полную материальную ответственность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за прямой действительн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ый ущерб, причиненный учреждению,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со статьей 277 Трудового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может быть привлечен к дисциплинарной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материальной ответственности в порядке, установленном Трудовым кодексом Российской федерации и 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ыми федеральными законами, а также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гражданско-правовой, административной и уголовной ответственности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порядке, установленном федеральными законами.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VII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Социальное страхование и социальные гарантии,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предоставляемые руководителю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27. Руководитель подлежит обязательному социальному страхованию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законодательством Российской Федерации об обязательном социальном страховании.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1277" w:hanging="127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Изменение и прекращение трудового договора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1277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28. Изменения вносятся в настоящий трудовой догово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соглашению сторон и оформляются дополнительным соглашением, являющимся неотъемлемой частью настоящего трудового договора.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Руководитель имеет право досрочно расторгнуть настоящий трудовой договор, предупредив об этом работодателя в письменной форм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позднее, чем за один месяц.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30. При расторжении настоящего трудового договора с руководителем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пунктом 2 статьи 278 Трудового кодекса Российской Федерации ему выплачивается компенсация в размере трехкратного среднего месячного зарабо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31. Настоящий трудовой договор может быть расторгнут по другим основаниям, предусмотренным Трудовым </w:t>
      </w:r>
      <w:hyperlink r:id="rId18" w:tooltip="&quot;Трудовой кодекс Российской Федерации&quot; от 30.12.2001 N 197-ФЗ (ред. от 05.04.2013)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иными фед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еральными законами.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Х. Заключительные положения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32. Настоящий трудовой договор вступает в силу со дня его подписания обеими сторонами.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33. В части, не предусмотренной настоящим трудовым договором, руководитель и работодатель руководствуются непосредствен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 трудовым законодательством и иными нормативными правовыми актами Российской Федерации, содержащими нормы трудового права.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34. Споры и разногласия, возникающие в отношении настоящего трудового договора, разрешаются по соглашению сторон, а при невозможно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сти достижения согласия –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35. В соответствии со статьей 276 Трудового кодекса Российской Федерации руководитель вправе выполнить работу по совместительству только с разрешения работодателя.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36. Настоящий трудовой договор составлен в 2-х экземплярах, имеющих одинаковую юридическую силу. Один экземпляр хранится работодателем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личном деле руководителя, второй - у руководителя.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37. Стороны: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998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49"/>
        <w:gridCol w:w="4536"/>
      </w:tblGrid>
      <w:tr>
        <w:tblPrEx/>
        <w:trPr>
          <w:trHeight w:val="277"/>
        </w:trPr>
        <w:tc>
          <w:tcPr>
            <w:tcW w:w="544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Работодатель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00"/>
        </w:trPr>
        <w:tc>
          <w:tcPr>
            <w:tcW w:w="544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Комитет по сохранению куль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турного наследия Ленинградской области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191124, г. Санкт-Петербург, ул. Смольного, д.3, литера А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ИНН 7842188194 КПП 784201001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л/с 02477932001 на казначейском счёте комитета финансов 03221643410000004500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Операционно-кассовый центр № 1 Северо-Западного главно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го управления Центрального банка Российской Федерации  (сокращенное наименование –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ОКЦ № 1 Северо-Западного ГУ Банка России)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БИК 044030098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Счёт банка получателя 40102810745370000098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ОКТМО  40911000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contextualSpacing/>
              <w:jc w:val="both"/>
              <w:spacing w:line="283" w:lineRule="exact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  <w:t xml:space="preserve">Вице-губернатор Ленинградской области по вопросам разви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  <w:t xml:space="preserve">тия и сохранения культурного наследия - председатель комитета по сохранению культурного наследия Ленинградской области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Цой В.О. 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  <w:lang w:eastAsia="ar-SA"/>
              </w:rPr>
              <w:t xml:space="preserve">                                   М.П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(фамилия, имя, отчество)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Адрес места жительства: 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Паспорт: 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  ___________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______________________                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(подпись)                             (фамилия, инициалы)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____________ 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  <w:t xml:space="preserve">        (подпись)</w:t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уководитель получил один экземпляр 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7"/>
          <w:szCs w:val="27"/>
          <w:highlight w:val="white"/>
        </w:rPr>
        <w:t xml:space="preserve">настоящего трудового договора                     ____________________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7"/>
          <w:szCs w:val="27"/>
          <w:highlight w:val="white"/>
        </w:rPr>
        <w:t xml:space="preserve">                                                                   (дата и подпись руководителя)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right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Приложение 1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  <w:t xml:space="preserve">Форма списка публикаций по направлениям профессиональной деятельности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ajorEastAsia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 наличии таких публикаций)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Список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публикаций по направлениям профессиональной деятельности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024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"/>
        <w:gridCol w:w="2628"/>
        <w:gridCol w:w="1414"/>
        <w:gridCol w:w="4096"/>
        <w:gridCol w:w="1292"/>
      </w:tblGrid>
      <w:tr>
        <w:tblPrEx/>
        <w:trPr>
          <w:trHeight w:val="818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Место публикации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Номер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и дата издания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Тема и  наименование публикации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Иные сведения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25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14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4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91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Подпись_________________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 _______________2026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Приложение 2 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br/>
        <w:t xml:space="preserve">к Разделу 1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. Сведения о государственном бюджетном учреждении культуры Ленинградской области «Государственный историко-архитектурный и природный музей-заповедник «Парк Монрепо»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, включающие основные показатели его финансово-хозяйственной деяте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льности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sz w:val="24"/>
          <w:szCs w:val="24"/>
          <w:highlight w:val="white"/>
        </w:rPr>
      </w:r>
    </w:p>
    <w:tbl>
      <w:tblPr>
        <w:tblW w:w="1006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254"/>
        <w:gridCol w:w="1559"/>
        <w:gridCol w:w="4252"/>
      </w:tblGrid>
      <w:tr>
        <w:tblPrEx/>
        <w:trPr>
          <w:trHeight w:val="322"/>
        </w:trPr>
        <w:tc>
          <w:tcPr>
            <w:gridSpan w:val="3"/>
            <w:shd w:val="clear" w:color="ffffff" w:fill="ffffff"/>
            <w:tcW w:w="1006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3.3. Неиспользуемое недвижимое имущество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auto"/>
            <w:tcW w:w="4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Балансовая/инвентаризационная стоимость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износа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42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Всего: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0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</w:p>
    <w:p>
      <w:pPr>
        <w:rPr>
          <w:rFonts w:ascii="Times New Roman" w:hAnsi="Times New Roman" w:cs="Times New Roman"/>
          <w:bCs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br w:type="page" w:clear="all"/>
      </w:r>
      <w:r>
        <w:rPr>
          <w:rFonts w:ascii="Times New Roman" w:hAnsi="Times New Roman" w:cs="Times New Roman"/>
          <w:bCs/>
          <w:i/>
          <w:highlight w:val="white"/>
        </w:rPr>
      </w:r>
      <w:r>
        <w:rPr>
          <w:rFonts w:ascii="Times New Roman" w:hAnsi="Times New Roman" w:cs="Times New Roman"/>
          <w:bCs/>
          <w:i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t xml:space="preserve">Приложение 3 </w:t>
      </w: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hAnsi="Times New Roman" w:cs="Times New Roman"/>
          <w:i/>
          <w:highlight w:val="white"/>
        </w:rPr>
        <w:t xml:space="preserve">к Разделу  1. Сведения о г</w:t>
      </w:r>
      <w:r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осударственном бюджетном учреждении культуры Ленинградской области «Государственный историко-архитектурный и природный музей-заповедник «Парк Монрепо»</w:t>
      </w:r>
      <w:r>
        <w:rPr>
          <w:rFonts w:ascii="Times New Roman" w:hAnsi="Times New Roman" w:cs="Times New Roman"/>
          <w:i/>
          <w:highlight w:val="white"/>
        </w:rPr>
        <w:t xml:space="preserve">, включающие основные показатели его финансово-хозяйственной деятельности</w:t>
      </w: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  <w:i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10064" w:type="dxa"/>
        <w:tblInd w:w="-3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9"/>
        <w:gridCol w:w="2196"/>
        <w:gridCol w:w="1879"/>
      </w:tblGrid>
      <w:tr>
        <w:tblPrEx/>
        <w:trPr>
          <w:trHeight w:val="570"/>
        </w:trPr>
        <w:tc>
          <w:tcPr>
            <w:gridSpan w:val="3"/>
            <w:shd w:val="clear" w:color="ffffff" w:fill="ffffff"/>
            <w:tcW w:w="1006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  <w:t xml:space="preserve">3.4. Общее количество объектов</w:t>
            </w:r>
            <w:r>
              <w:rPr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  <w:t xml:space="preserve">недвижимого имущества </w:t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white"/>
                <w:shd w:val="clear" w:color="auto" w:fill="ffffff"/>
              </w:rPr>
              <w:t xml:space="preserve">(за исключением п. 3.1, 3.2, 3.3.)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Балансовая/инвентаризационная стоимость, руб.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износа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989" w:type="dxa"/>
            <w:vAlign w:val="bottom"/>
            <w:textDirection w:val="lrTb"/>
            <w:noWrap w:val="false"/>
          </w:tcPr>
          <w:p>
            <w:pPr>
              <w:spacing w:line="28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47:01:0105004:283.             Земельный участок  площадью 2198 кв.м.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ул. Петровская, д. 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3 000 511,78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47:01:0103001:30.                   Нежилое здание (1 этажное, здание бывшей кордегардии), площадью 100,9 кв.м.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р-н. Выборгский, г. Выборг, ул. Петровская, д.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328 918,86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процессе реставрационных работ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47:01:0104001:237.              Земельный участок площадью 1200+/-12 кв.м.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 область, Выборгский район, г. Выборг, Монрепо аллея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469 260,00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spacing w:after="0"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47:01:0104001:26.                     Нежилое здание, площадью 106,7 кв.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after="0" w:line="57" w:lineRule="atLeas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Монрепо аллея, д. 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117 000,00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47:01:0000000:27669.              Нежилое здание (Устои силовой подстанции (фундамент)- выявленный объект культурного наследия «Батарея Линасаари. 1860-70-е, 1910-е гг.»,  площадью 198,7 кв.м.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п.Северный, Северная оконечность о.Твердыш у ж/д моста через пролив Кивисилта.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2 583 596,75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47:01:0000000:20643.            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ежилое здание (Лаборатория- убежище- выявленный объект культурного наследия «Батарея Линасаари. 1860-70-е, 1910-е гг.»),  площадью 542,9 кв.м.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п.Северный, Северная оконечность о.Твердыш у ж/д моста через пролив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Кивисилта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7 059 057,25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70"/>
        </w:trPr>
        <w:tc>
          <w:tcPr>
            <w:shd w:val="clear" w:color="ffffff" w:fill="ffffff"/>
            <w:tcW w:w="598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47:01:0000000:22051.        Сооружение (Фундамент казармы- объект незавершенного строительства, остаточная готовность 6%), площадью 45,9 кв.м.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н, п. Северный, Северная оконечность о.Твердыш у ж/д моста через пролив Кивисилта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246 000,00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47:01:0000000:27643.        Сооружение (Склад-объект незавершенного строительства, готовность 12%).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п.Северный, Северная оконечность о.Твердыш у ж/д моста через пролив Кивисилта.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71 000,00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47:01:0000000:27682.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Главный дом, площадью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1357,6 кв.м.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город Выборг, парк Монрепо, дом 8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47:01:0000000:18714.             Флигель площадью 593,2 кв.м.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г.Выборг, парк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Монрепо, д.10  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47:01:0104001:8.                        Ворота площадью 70,4 кв.м.                     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район, город Выборг, аллея Монрепо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                      Погреб у флигеля площадью 56,5 кв.м.       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нинградская область, Выборгский,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47:01:0000000:17577.               Флигель для гостей площадью 169,1 кв.м.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й район, г. Выборг, парк Монрепо, д. 14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47:01:0000000:25870.                      Дом садовника площадью 303,9 кв.м.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парк Монрепо, д. 19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47:01:0000000:20288.        Оранжерея, площадью 390,0 кв.м.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парк Монрепо, д. 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47:01:0104001:14.                     Погреб у дома садовника площадью 20 кв.м.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, Выборгский район,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pStyle w:val="989"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47:01:0104001:11.                      Погреб у Оранжереи площадью 20 кв.м.       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 район,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47:01:0104001:9.                    Обелиск Брольи площадью 9,2 кв.м           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 район,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47:01:0104001:24.                   Колонна площадью 3,2 кв.м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 район,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47:01:0104001:19.                   Пристань на о. Палатки площадью 61,0 кв.м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47:01:0104001:247.                     Дамба у долины Розенталь.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г. Выборг, парк Монрепо , д.1, строение 13.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47:01:0104001:10.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Ограда валунная  площадью 2196,0 кв.м.  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район, 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47:01:0104001:21.                  Пристань главная площадью 168,0 кв.м.      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район,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47:01:0104001:22.                   Пристань для лодок 2.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г. Выборг, Монрепо парк, д.1,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строение 22 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47:01:0104001:248.                 Земляная дамба (Восточная и Западная часть),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Монрепо парк, д.1, строение 31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47:01:0104001:7.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Капелла на о. Людвигштайн пло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щадью 73,2 кв.м.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район, 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47:01:0104001:18.                          Грот Медузы.                                                        ,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рай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47:01:0104001:13.                Некрополь на о. Людвигштайн  площадью 2930,0 кв.м.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Ленинградская область, Выборгский район, г. Выборг,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                           Пирсы на о. Самонсаари (2)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парк Монрепо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47:01:0104001:23.                 Переправа паромная на остров Людвигштайн.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 г. Выборг, парк Монрепо, д.1, строение 32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47:01:0104001:243. Административно-бытовой корпус.                               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енинградская область, Выборгский район, г. Выборг,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парк Монрепо, д. 1, к. 3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7:01:0104001:242.             Автостоянка закрытого типа, 4.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г. Выборг, парк Монрепо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д. 1, к. 2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                    Буфет площадью 224,2 кв.м.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г. Выборг, парк Монрепо, д.1, корпус 1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47:01:0104001:241.                    Здание для хранения инвентаря площадью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,1 кв.м.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 г. Выборг, парк Монрепо, д.1, корпус 8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47:01:0104001:240.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Кассовый павильон  площадью 14,5 кв.м.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район,  г. Выборг, парк Монрепо,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д.1, корпус 4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47:01:0104001:246.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Котельная.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 г. Выборг, парк Монрепо,д.1, корпус 5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47:01:0104001:244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           Хранилище углеводородного сжиженного газа.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Ленинградская область, Выборгский  район,  г. Выборг, парк Монрепо, д.1, строение 3</w:t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fill="ffffff"/>
            <w:tcW w:w="5989" w:type="dxa"/>
            <w:vAlign w:val="bottom"/>
            <w:vMerge w:val="restart"/>
            <w:textDirection w:val="lrTb"/>
            <w:noWrap w:val="false"/>
          </w:tcPr>
          <w:p>
            <w:pPr>
              <w:spacing w:line="283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13 875 344,64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highlight w:val="white"/>
        </w:rPr>
        <w:outlineLvl w:val="0"/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p>
      <w:pPr>
        <w:pStyle w:val="987"/>
        <w:jc w:val="right"/>
        <w:rPr>
          <w:rFonts w:ascii="Times New Roman" w:hAnsi="Times New Roman" w:cs="Times New Roman"/>
          <w:sz w:val="27"/>
          <w:szCs w:val="27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7"/>
          <w:szCs w:val="27"/>
          <w:highlight w:val="white"/>
        </w:rPr>
        <w:t xml:space="preserve">Приложение 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987"/>
        <w:jc w:val="right"/>
        <w:rPr>
          <w:rFonts w:ascii="Times New Roman" w:hAnsi="Times New Roman" w:cs="Times New Roman"/>
          <w:b w:val="0"/>
          <w:bCs w:val="0"/>
          <w:i/>
          <w:iCs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оп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ия приказа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комитета по сохранению культурного наследия Ленинградской области от 18.03.2021 № 01-0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3/21-29 «О реализации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отдельных положений постановления Правительства Ленинградской области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от 30 апреля 2020 года № 262»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 в редакции от 28.03.2025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white"/>
        </w:rPr>
      </w:r>
      <w:r>
        <w:rPr>
          <w:rFonts w:ascii="Times New Roman" w:hAnsi="Times New Roman" w:cs="Times New Roman"/>
          <w:b w:val="0"/>
          <w:bCs w:val="0"/>
          <w:i/>
          <w:iCs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bCs/>
          <w:i/>
          <w:highlight w:val="white"/>
        </w:rPr>
        <w:outlineLvl w:val="0"/>
      </w:pPr>
      <w:r>
        <w:rPr>
          <w:rFonts w:ascii="Times New Roman" w:hAnsi="Times New Roman" w:eastAsia="Times New Roman" w:cs="Times New Roman"/>
          <w:i/>
          <w:iCs/>
          <w:highlight w:val="white"/>
        </w:rPr>
      </w:r>
      <w:r>
        <w:rPr>
          <w:rFonts w:ascii="Times New Roman" w:hAnsi="Times New Roman" w:eastAsia="Times New Roman" w:cs="Times New Roman"/>
          <w:bCs/>
          <w:i/>
          <w:highlight w:val="white"/>
        </w:rPr>
      </w:r>
      <w:r>
        <w:rPr>
          <w:rFonts w:ascii="Times New Roman" w:hAnsi="Times New Roman" w:cs="Times New Roman"/>
          <w:bCs/>
          <w:i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highlight w:val="white"/>
        </w:rPr>
        <w:t xml:space="preserve">КОМИТЕТ ПО СОХРАНЕНИЮ КУЛЬТУРНОГО НАСЛЕДИЯ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ПРИКАЗ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 18 марта 2021 г. N 01-03/21-29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 РЕАЛИЗАЦИИ ОТДЕЛЬНЫХ ПОЛОЖЕНИЙ ПОСТАНОВЛЕНИЯ ПРАВИТЕЛЬСТВА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ЛЕНИНГРАДСКОЙ ОБЛАСТИ ОТ 30 АПРЕЛЯ 2020 ГОДА N 262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spacing w:after="1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(в ред. Приказов комитета по сохранению культурного наследия Ленинградской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области от 14.06.2022 </w:t>
            </w:r>
            <w:hyperlink r:id="rId19" w:tooltip="https://login.consultant.ru/link/?req=doc&amp;base=SPB&amp;n=257740&amp;dst=100005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N 01-03/22-125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, от 23.06.2023 </w:t>
            </w:r>
            <w:hyperlink r:id="rId20" w:tooltip="https://login.consultant.ru/link/?req=doc&amp;base=SPB&amp;n=275724&amp;dst=100005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N 01-03/23-172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от 29.12.2023 </w:t>
            </w:r>
            <w:hyperlink r:id="rId21" w:tooltip="https://login.consultant.ru/link/?req=doc&amp;base=SPB&amp;n=286133&amp;dst=100005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N 01-03/23-274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, от 28.03.2025 </w:t>
            </w:r>
            <w:hyperlink r:id="rId22" w:tooltip="https://login.consultant.ru/link/?req=doc&amp;base=SPB&amp;n=308790&amp;dst=100005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N 01-03/25-19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Во исполнение </w:t>
      </w:r>
      <w:hyperlink r:id="rId23" w:tooltip="https://login.consultant.ru/link/?req=doc&amp;base=SPB&amp;n=331344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Правительства Ленинградской области от 30 апреля 2020 года N 262 "Об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</w:t>
      </w:r>
      <w:r>
        <w:rPr>
          <w:rFonts w:ascii="Times New Roman" w:hAnsi="Times New Roman" w:eastAsia="Times New Roman" w:cs="Times New Roman"/>
          <w:highlight w:val="white"/>
        </w:rPr>
        <w:t xml:space="preserve">утратившими</w:t>
      </w:r>
      <w:r>
        <w:rPr>
          <w:rFonts w:ascii="Times New Roman" w:hAnsi="Times New Roman" w:eastAsia="Times New Roman" w:cs="Times New Roman"/>
          <w:highlight w:val="white"/>
        </w:rPr>
        <w:t xml:space="preserve"> силу полностью или частично отдельных постановлений Правительства Ленинградской области" приказываю: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 Утвердить </w:t>
      </w:r>
      <w:hyperlink w:tooltip="#P42" w:anchor="P42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о порядке установления стимулирующих выплат руководителям государственных учреждений, подведомственных комитету по сохранению культурного наследия Ленинградской области (далее - подведомственные учреждения), согласно приложению 1.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Утвердить </w:t>
      </w:r>
      <w:hyperlink w:tooltip="#P128" w:anchor="P128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показателей эффективности и результативности деятельности подведомственных учреждений, используемых для определения премиальных выплат руководителям, согласно приложению 2.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Утвердить примерные </w:t>
      </w:r>
      <w:hyperlink w:tooltip="#P390" w:anchor="P390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показатели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эффективности и результативности деятельности подведомственных учреждений по видам деятельности согласно приложению 3.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Государственным учреждениям, подведомственным комитету по сохранению культурного наследия Ленинградской области, </w:t>
      </w:r>
      <w:hyperlink w:tooltip="#P390" w:anchor="P390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показатели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эффективности и результативности деятельности работников определить с учетом показателей, утвержденных приложением 3 к настоящему приказу.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5. Настоящий приказ вступает в силу с момента опубликования.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 </w:t>
      </w:r>
      <w:r>
        <w:rPr>
          <w:rFonts w:ascii="Times New Roman" w:hAnsi="Times New Roman" w:eastAsia="Times New Roman" w:cs="Times New Roman"/>
          <w:highlight w:val="white"/>
        </w:rPr>
        <w:t xml:space="preserve">Контроль за</w:t>
      </w:r>
      <w:r>
        <w:rPr>
          <w:rFonts w:ascii="Times New Roman" w:hAnsi="Times New Roman" w:eastAsia="Times New Roman" w:cs="Times New Roman"/>
          <w:highlight w:val="white"/>
        </w:rPr>
        <w:t xml:space="preserve"> исполнением настоящего приказа оставляю за собой.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Правительства Ленинградской области -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председатель комитета по сохранению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культурного наследия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В.О.Цой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highlight w:val="white"/>
        </w:rPr>
        <w:t xml:space="preserve">ПРИЛОЖЕНИЕ 1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УТВЕРЖДЕНО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приказом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комитета по сохранению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культурного наследия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 18.03.2021 N 01-03/21-29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eastAsia="Times New Roman" w:cs="Times New Roman"/>
          <w:highlight w:val="white"/>
        </w:rPr>
        <w:t xml:space="preserve">ПОЛОЖЕНИЕ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 ПОРЯДКЕ УСТАНОВЛЕНИЯ СТИМУЛИРУЮЩИХ ВЫПЛАТ РУКОВОДИТЕЛЯМ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ГОСУДАРСТВЕННЫХ УЧРЕЖДЕНИЙ, ПОДВЕДОМСТВЕННЫХ КОМИТЕТУ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spacing w:after="1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(в ред. Приказов комитета по сохранению культурного наследия Ленинградской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области от 14.06.2022 </w:t>
            </w:r>
            <w:hyperlink r:id="rId24" w:tooltip="https://login.consultant.ru/link/?req=doc&amp;base=SPB&amp;n=257740&amp;dst=100005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N 01-03/22-125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, от 28.03.2025 </w:t>
            </w:r>
            <w:hyperlink r:id="rId25" w:tooltip="https://login.consultant.ru/link/?req=doc&amp;base=SPB&amp;n=308790&amp;dst=100006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N 01-03/25-19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 Настоящее Положение уст</w:t>
      </w:r>
      <w:r>
        <w:rPr>
          <w:rFonts w:ascii="Times New Roman" w:hAnsi="Times New Roman" w:eastAsia="Times New Roman" w:cs="Times New Roman"/>
          <w:highlight w:val="white"/>
        </w:rPr>
        <w:t xml:space="preserve">анавливает порядок определения размера и периодичности стимулирующих выплат руководителям государственных учреждений, подведомственных комитету по сохранению культурного наследия Ленинградской области (далее - учреждения, руководители учреждений, Комитет).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Руководителям учреждений устанавливаются следующие стимулирующие выплаты: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премиальные выплаты по итогам работы;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премиальные выплаты за выполнение особо важных (срочных) работ;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премиальные выплаты к значимым датам (событиям).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Премиальные выплаты по итогам работы устанавливаются по итогам работы за квартал, а также по итогам работы за год.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Премиальные выплаты по итогам работы за квартал устанавливаются ежеквартально с учетом корректирующего коэффициента показателей эффективности и результативности деятельности учреждения (далее - КПЭ) по итогам работы за прошедший квартал.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Абзац исключен. - </w:t>
      </w:r>
      <w:hyperlink r:id="rId26" w:tooltip="https://login.consultant.ru/link/?req=doc&amp;base=SPB&amp;n=257740&amp;dst=100006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комитета по сохранению культурного наследия Ленинградской области от 14.06.2022 N 01-03/22-125.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5. Размер премиальной выплаты по итогам работы за квартал определяется по формуле: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position w:val="-25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88260" cy="46101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013895" name="Picture 1"/>
                        <pic:cNvPicPr/>
                        <pic:nvPr/>
                      </pic:nvPicPr>
                      <pic:blipFill>
                        <a:blip r:embed="rId27">
                          <a:extLst>
                            <a:ext uri="{96DAC541-7B7A-43D3-8B79-37D633B846F1}">
                              <asvg:svgBlip xmlns:asvg="http://schemas.microsoft.com/office/drawing/2016/SVG/main" r:embed="rId2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588259" cy="461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3.80pt;height:36.30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highlight w:val="white"/>
        </w:rPr>
        <w:t xml:space="preserve">П(</w:t>
      </w:r>
      <w:r>
        <w:rPr>
          <w:rFonts w:ascii="Times New Roman" w:hAnsi="Times New Roman" w:eastAsia="Times New Roman" w:cs="Times New Roman"/>
          <w:highlight w:val="white"/>
        </w:rPr>
        <w:t xml:space="preserve">кв</w:t>
      </w:r>
      <w:r>
        <w:rPr>
          <w:rFonts w:ascii="Times New Roman" w:hAnsi="Times New Roman" w:eastAsia="Times New Roman" w:cs="Times New Roman"/>
          <w:highlight w:val="white"/>
        </w:rPr>
        <w:t xml:space="preserve">) - базовый размер премиальной выплаты по итогам работы за квартал;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(в ред. </w:t>
      </w:r>
      <w:hyperlink r:id="rId29" w:tooltip="https://login.consultant.ru/link/?req=doc&amp;base=SPB&amp;n=257740&amp;dst=100007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комитета по сохранению культурного наследия Ленинградской области от 14.06.2022 N 01-03/22-125)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 - корректирующий коэффициент при отклонении фактических значений i-</w:t>
      </w:r>
      <w:r>
        <w:rPr>
          <w:rFonts w:ascii="Times New Roman" w:hAnsi="Times New Roman" w:eastAsia="Times New Roman" w:cs="Times New Roman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highlight w:val="white"/>
        </w:rPr>
        <w:t xml:space="preserve"> показателя эффективности и результативности деятельности учреждения от плановых, определяемый в соответствии с Перечнем показателей эффективности и результативности деятельности подведомственных учреждений (далее - Перечень КПЭ).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Плановые значения показателей эффективности и результативности деятельности учреждения на очередной год с разбивкой по кварталам устанавливаются распоряжением Комитета не позднее 31 декабря текущего года;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d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 - вес i-</w:t>
      </w:r>
      <w:r>
        <w:rPr>
          <w:rFonts w:ascii="Times New Roman" w:hAnsi="Times New Roman" w:eastAsia="Times New Roman" w:cs="Times New Roman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highlight w:val="white"/>
        </w:rPr>
        <w:t xml:space="preserve"> показателя эффективности и результативности деятельности учреждения, определяемый в соответствии с Перечнем КПЭ (процентов).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 Премиальные выплаты по итогам работы за год устанавливаются ежегодно на основе оценки эффективности и результативности деятельности учреждения по итогам работы за прошедший год.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Премиальные выплаты по итогам работы за год устанавливаются с учетом итогового корректирующего коэффициента показателей эффективности и результативности деятельности учреждения (КПЭ) по итогам работы за прошедший год.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Премиальные выплаты по итогам работы за год выплачиваются единовременно, не позднее 1 февраля года, следующего </w:t>
      </w:r>
      <w:r>
        <w:rPr>
          <w:rFonts w:ascii="Times New Roman" w:hAnsi="Times New Roman" w:eastAsia="Times New Roman" w:cs="Times New Roman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highlight w:val="white"/>
        </w:rPr>
        <w:t xml:space="preserve"> отчетным.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7. Базовые размеры премиальной выплаты по итогам работы за квартал определяются в процентном отношении к сумме должностного оклада руководителя учреждения и выплат по повышающим коэффициентам к должностному окладу руководителя в следующих размерах: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(в ред. </w:t>
      </w:r>
      <w:hyperlink r:id="rId30" w:tooltip="https://login.consultant.ru/link/?req=doc&amp;base=SPB&amp;n=257740&amp;dst=100007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комитета по сохранению культурного наследия Ленинградской области от 14.06.2022 N 01-03/22-125)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для руководителя учреждения культуры, постоянное рабочее место которого расположено на территории города Санкт-Петербурга, - 100 процентов;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для руководителя учреждения культуры, постоянное рабочее место которого расположено на территории Ленинградской области, - 150 процентов;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для руководителей прочих учреждений - 130 процентов.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8. Премия начисляется за фактически отработанное время. За период нахождения руководителя в различных видах оплачиваемых или неоплачиваемых отпусков, а также за период временной нетрудоспособности премия не начисляется.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9. Размер премиальной выплаты по итогам работы за год определяется по формуле: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position w:val="-25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02585" cy="46101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0473628" name="Picture 1"/>
                        <pic:cNvPicPr/>
                        <pic:nvPr/>
                      </pic:nvPicPr>
                      <pic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902584" cy="461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28.55pt;height:36.30pt;mso-wrap-distance-left:0.00pt;mso-wrap-distance-top:0.00pt;mso-wrap-distance-right:0.00pt;mso-wrap-distance-bottom:0.00pt;" stroked="f">
                <v:path textboxrect="0,0,0,0"/>
                <v:imagedata r:id="rId3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highlight w:val="white"/>
        </w:rPr>
        <w:t xml:space="preserve">П(</w:t>
      </w:r>
      <w:r>
        <w:rPr>
          <w:rFonts w:ascii="Times New Roman" w:hAnsi="Times New Roman" w:eastAsia="Times New Roman" w:cs="Times New Roman"/>
          <w:highlight w:val="white"/>
        </w:rPr>
        <w:t xml:space="preserve">гд</w:t>
      </w:r>
      <w:r>
        <w:rPr>
          <w:rFonts w:ascii="Times New Roman" w:hAnsi="Times New Roman" w:eastAsia="Times New Roman" w:cs="Times New Roman"/>
          <w:highlight w:val="white"/>
        </w:rPr>
        <w:t xml:space="preserve">) - базовый размер премиальной выплаты по итогам работы за год, принимаемый равным 150 процентам от должностного оклада руководителя;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 - корректирующий коэффициент при отклонении фактических значений i-</w:t>
      </w:r>
      <w:r>
        <w:rPr>
          <w:rFonts w:ascii="Times New Roman" w:hAnsi="Times New Roman" w:eastAsia="Times New Roman" w:cs="Times New Roman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highlight w:val="white"/>
        </w:rPr>
        <w:t xml:space="preserve"> показателя эффективности и результативности деятельности учреждения от плановых, определяемый в соответствии с Перечнем показателей эффективности и результативности деятельности государственных учреждений, подведомственных Комитету (далее - Перечень КПЭ);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d</w:t>
      </w:r>
      <w:r>
        <w:rPr>
          <w:rFonts w:ascii="Times New Roman" w:hAnsi="Times New Roman" w:eastAsia="Times New Roman" w:cs="Times New Roman"/>
          <w:highlight w:val="white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 - вес i-</w:t>
      </w:r>
      <w:r>
        <w:rPr>
          <w:rFonts w:ascii="Times New Roman" w:hAnsi="Times New Roman" w:eastAsia="Times New Roman" w:cs="Times New Roman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highlight w:val="white"/>
        </w:rPr>
        <w:t xml:space="preserve"> показателя эффективности и результативности деятельности учреждения, определяемый в соответствии с Перечнем КПЭ (процентов);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РВ - доля рабочего времени, отработанного руководителем учреждения в отчетном году.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eastAsia="Times New Roman" w:cs="Times New Roman"/>
          <w:highlight w:val="white"/>
        </w:rPr>
        <w:t xml:space="preserve">10. Размер премиальной выплаты сокращается в размере от 25 до 50 процентов в следующих случаях;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наличие просроченной кредиторской задолженности (за исключением </w:t>
      </w:r>
      <w:r>
        <w:rPr>
          <w:rFonts w:ascii="Times New Roman" w:hAnsi="Times New Roman" w:eastAsia="Times New Roman" w:cs="Times New Roman"/>
          <w:highlight w:val="white"/>
        </w:rPr>
        <w:t xml:space="preserve">судебно</w:t>
      </w:r>
      <w:r>
        <w:rPr>
          <w:rFonts w:ascii="Times New Roman" w:hAnsi="Times New Roman" w:eastAsia="Times New Roman" w:cs="Times New Roman"/>
          <w:highlight w:val="white"/>
        </w:rPr>
        <w:t xml:space="preserve"> оспариваемой) (по итогам каждого из месяцев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совершение сделок с имуществом, находящимся в оперативном управлении учреждения, с нарушением требований законодательства (выявленных в течение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highlight w:val="white"/>
        </w:rPr>
        <w:t xml:space="preserve">недостижение</w:t>
      </w:r>
      <w:r>
        <w:rPr>
          <w:rFonts w:ascii="Times New Roman" w:hAnsi="Times New Roman" w:eastAsia="Times New Roman" w:cs="Times New Roman"/>
          <w:highlight w:val="white"/>
        </w:rPr>
        <w:t xml:space="preserve"> показателей по размеру начисленной заработной платы работников учреждения, установленных в соответствии с планом мероприятий ("дорожной картой") по повышению эффективности сферы культуры и совершенствованию </w:t>
      </w:r>
      <w:r>
        <w:rPr>
          <w:rFonts w:ascii="Times New Roman" w:hAnsi="Times New Roman" w:eastAsia="Times New Roman" w:cs="Times New Roman"/>
          <w:highlight w:val="white"/>
        </w:rPr>
        <w:t xml:space="preserve">оплаты труда работников учреждений культуры</w:t>
      </w:r>
      <w:r>
        <w:rPr>
          <w:rFonts w:ascii="Times New Roman" w:hAnsi="Times New Roman" w:eastAsia="Times New Roman" w:cs="Times New Roman"/>
          <w:highlight w:val="white"/>
        </w:rPr>
        <w:t xml:space="preserve"> в Ленинградской области;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наличие чрезвычайных происшествий, случаев травматизма, произошедших по вине учреждения (в течение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5) непредставление в установленный срок информации, необходимой для расчета значений показателей эффективности и результативности деятельности учреждения (в течение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6) несвоевременное (неполное) размещение информации о деятельности учреждения на официальном сайте </w:t>
      </w:r>
      <w:hyperlink r:id="rId33" w:tooltip="bus.gov.ru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bus.gov.ru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(выявленное в течение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7) несоблюдение установленных сроков представления бухгалтерской (бюджетной), статистической отчетности (в течение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8) применение к руководителю учреждения дисциплинарного взыскания (в течение отчетного периода);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9) поступление в течение отчетного квартала (года) более 3 обоснованных жалоб на деятельность учреждения;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10) невыполнении утвержденного в установленные порядке плана по устранению недостатков, выявленных в ходе </w:t>
      </w:r>
      <w:r>
        <w:rPr>
          <w:rFonts w:ascii="Times New Roman" w:hAnsi="Times New Roman" w:eastAsia="Times New Roman" w:cs="Times New Roman"/>
          <w:highlight w:val="white"/>
        </w:rPr>
        <w:t xml:space="preserve">проведения независимой оценки качества условий оказания услуг</w:t>
      </w:r>
      <w:r>
        <w:rPr>
          <w:rFonts w:ascii="Times New Roman" w:hAnsi="Times New Roman" w:eastAsia="Times New Roman" w:cs="Times New Roman"/>
          <w:highlight w:val="white"/>
        </w:rPr>
        <w:t xml:space="preserve">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eastAsia="Times New Roman" w:cs="Times New Roman"/>
          <w:highlight w:val="white"/>
        </w:rPr>
        <w:t xml:space="preserve">11. Премиальные выплаты по итогам работы не выплачиваются в следующих случаях: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выявления в отчетном периоде фактов нецелевого использования бюджетных средств;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выявления в отчетном периоде фактов предоставления недостоверной (искаженной) отчетности о значениях КПЭ, повлекшей установление необоснованно высоких размеров премиальных выплат по итогам работы;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наличия задолженности по выплате заработной платы работникам учреждения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12. Условия, указанные в </w:t>
      </w:r>
      <w:hyperlink w:tooltip="#P86" w:anchor="P86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пунктах 10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и </w:t>
      </w:r>
      <w:hyperlink w:tooltip="#P97" w:anchor="P97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11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, учитываются для определения размера стимулирующих выплат руководителю за период, в котором руководитель учреждения фактически замещал руководящую должность.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13. По решению председателя комитета и при наличии оснований руководителям учреждений устанавливаются премиальные выплаты за выполнение особо важных (срочных) работ, в том числе: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за выполнение особо важных поручений комитета;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за организацию и проведение мероприятий с участием Губернатора Ленинградской области.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Размер премиальной выплаты за выполнение особо важных (срочных) работ определяется Комитетом и может составлять от 50 до 100 процентов должностного оклада руководителя учреждения.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14. Премиальные выплаты к значимым датам (событиям) руководителям учреждений устанавливаются комитетом: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 профессиональным праздникам - День работника культуры, Международный день музеев, День реставратора (в зависимости от основной деятельности государственного учреждения) - в размере 30000,00 рублей;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 юбилейным датам (50 лет, 55 лет, 60 лет, 65 лет, 70 лет, 75 лет, 80 лет) в размере 25000,00 рублей;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св</w:t>
      </w:r>
      <w:r>
        <w:rPr>
          <w:rFonts w:ascii="Times New Roman" w:hAnsi="Times New Roman" w:eastAsia="Times New Roman" w:cs="Times New Roman"/>
          <w:highlight w:val="white"/>
        </w:rPr>
        <w:t xml:space="preserve">язи с награждением государственными наградами Российской Федерации, ведомственными наградами федеральных органов исполнительной власти, наградами Губернатора Ленинградской области и Законодательного Собрания Ленинградской области в размере 20000,00 рублей.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(п. 14 в ред. </w:t>
      </w:r>
      <w:hyperlink r:id="rId34" w:tooltip="https://login.consultant.ru/link/?req=doc&amp;base=SPB&amp;n=308790&amp;dst=100006" w:history="1">
        <w:r>
          <w:rPr>
            <w:rFonts w:ascii="Times New Roman" w:hAnsi="Times New Roman" w:eastAsia="Times New Roman" w:cs="Times New Roman"/>
            <w:color w:val="0000ff"/>
            <w:highlight w:val="white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highlight w:val="white"/>
        </w:rPr>
        <w:t xml:space="preserve"> комитета по сохранению культурного наследия Ленинградской области от 28.03.2025 N 01-03/25-19)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15. Комитет не позднее 20 числа, следующего за отчетным периодом, направляет в учреждение распоряжение о премировании руководителя учреждения по итогам работы за квартал с указанием конкретной суммы премиальной выплаты.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16. Руководителям учреждений может быть оказана материальная помощь в случаях стихийного бедствия, заболевания, смерти ближайших родственников и при иных уважительных причинах. Материальная </w:t>
      </w:r>
      <w:r>
        <w:rPr>
          <w:rFonts w:ascii="Times New Roman" w:hAnsi="Times New Roman" w:eastAsia="Times New Roman" w:cs="Times New Roman"/>
          <w:highlight w:val="white"/>
        </w:rPr>
        <w:t xml:space="preserve">помощь</w:t>
      </w:r>
      <w:r>
        <w:rPr>
          <w:rFonts w:ascii="Times New Roman" w:hAnsi="Times New Roman" w:eastAsia="Times New Roman" w:cs="Times New Roman"/>
          <w:highlight w:val="white"/>
        </w:rPr>
        <w:t xml:space="preserve"> оказывается по письменному заявлению руководителя учреждения на основании распоряжения Комитета.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Размер материальной помощи не может превышать 3 должностных окладов руководителя учреждения.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hd w:val="nil" w:color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highlight w:val="white"/>
        </w:rPr>
        <w:t xml:space="preserve">ПРИЛОЖЕНИЕ 2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УТВЕРЖДЕНО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приказом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комитета по сохранению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культурного наследия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 18.03.2021 N 01-03/21-29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eastAsia="Times New Roman" w:cs="Times New Roman"/>
          <w:highlight w:val="white"/>
        </w:rPr>
        <w:t xml:space="preserve">ПЕРЕЧЕНЬ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ПОКАЗАТЕЛЕЙ ЭФФЕКТИВНОСТИ И РЕЗУЛЬТАТИВНОСТИ ДЕЯТЕЛЬНОСТИ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ПОДВЕДОМСТВЕННЫХ УЧРЕЖДЕНИЙ, ИСПОЛЬЗУЕМЫХ ДЛЯ ОПРЕДЕЛЕНИЯ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ПРЕМИАЛЬНЫХ ВЫПЛАТ РУКОВОДИТЕЛЯМ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spacing w:after="1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(в ред. </w:t>
            </w:r>
            <w:hyperlink r:id="rId35" w:tooltip="https://login.consultant.ru/link/?req=doc&amp;base=SPB&amp;n=286133&amp;dst=100005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Приказа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 комитета по сохранению культурного наследия Ленинградской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области от 29.12.2023 N 01-03/23-274)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 Применяется для учреждений: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"Выборгский объединенный </w:t>
      </w:r>
      <w:r>
        <w:rPr>
          <w:rFonts w:ascii="Times New Roman" w:hAnsi="Times New Roman" w:eastAsia="Times New Roman" w:cs="Times New Roman"/>
          <w:highlight w:val="white"/>
        </w:rPr>
        <w:t xml:space="preserve">музей-заповедник</w:t>
      </w:r>
      <w:r>
        <w:rPr>
          <w:rFonts w:ascii="Times New Roman" w:hAnsi="Times New Roman" w:eastAsia="Times New Roman" w:cs="Times New Roman"/>
          <w:highlight w:val="white"/>
        </w:rPr>
        <w:t xml:space="preserve">";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"Музейное агентство";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"Музейно-мемориальный комплекс "Дорога жизни";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"Староладожский историко-архитектурный и археологический </w:t>
      </w:r>
      <w:r>
        <w:rPr>
          <w:rFonts w:ascii="Times New Roman" w:hAnsi="Times New Roman" w:eastAsia="Times New Roman" w:cs="Times New Roman"/>
          <w:highlight w:val="white"/>
        </w:rPr>
        <w:t xml:space="preserve">музей-заповедник</w:t>
      </w:r>
      <w:r>
        <w:rPr>
          <w:rFonts w:ascii="Times New Roman" w:hAnsi="Times New Roman" w:eastAsia="Times New Roman" w:cs="Times New Roman"/>
          <w:highlight w:val="white"/>
        </w:rPr>
        <w:t xml:space="preserve">";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"Государственный историко-архитектурный и природный </w:t>
      </w:r>
      <w:r>
        <w:rPr>
          <w:rFonts w:ascii="Times New Roman" w:hAnsi="Times New Roman" w:eastAsia="Times New Roman" w:cs="Times New Roman"/>
          <w:highlight w:val="white"/>
        </w:rPr>
        <w:t xml:space="preserve">музей-заповедник</w:t>
      </w:r>
      <w:r>
        <w:rPr>
          <w:rFonts w:ascii="Times New Roman" w:hAnsi="Times New Roman" w:eastAsia="Times New Roman" w:cs="Times New Roman"/>
          <w:highlight w:val="white"/>
        </w:rPr>
        <w:t xml:space="preserve"> "Парк Монрепо";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"Выставочный центр "Эрмитаж-Выборг";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ГБУК ЛО "Международный центр реставрации".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2"/>
        <w:gridCol w:w="2864"/>
        <w:gridCol w:w="1581"/>
        <w:gridCol w:w="664"/>
        <w:gridCol w:w="1949"/>
        <w:gridCol w:w="1958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Показатель эффективности (результативности) деятельности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Периодичность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Вес, %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309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Корректирующий коэффициент при отклонении фактических значений (Ф)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плановых (П)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Позитивное отклонение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Негативное отклонение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нарушений федерального и регионального законодательства при комплектовании, учете и хранении музейных предметов и музейных коллекций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нарушений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нарушений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Динамика доходов от приносящей доход деятельности по сравнению с аналогичным периодом прошлого года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Ф :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 не более 1,1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недостижении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до 10% от плана: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(Ф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недостижении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на 10% и более: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поданных заявок на музейные конкурсы и гранты (по российским и международным программам)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подаче заявок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поданных заявок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Внедрение дополнительных форм, проектов и методов работы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использовании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неиспользовании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 учреждением показателей объема и качества государственных услуг (работ)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достижении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недостижении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Исполнительская дисциплина руководителя учреждения (в том числе соблюдение сроков и порядка предоставления отчетов об основной деятельности учреждения, выполнении поручений)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задолженности по налогам и сборам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задолженности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задолженности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Соблюдение сроков и порядка представления статистической и бухгалтерской отчетности, представление качественной оперативной информации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Положительные отзывы о деятельности учреждения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положительных отзывов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положительных отзывов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Предписания контролирующих органов, в том числе по вопросам: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 содержания имущества, закрепленного за учреждением;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 соблюдения требований комплексной безопасности, охраны и антитеррористической защищенности учреждения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предписаний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предписаний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Методика расчета значений показателей эффективности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и результативности деятельности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 Количество нарушений федерального и регионального законодательства при комплектовании, учете и хранении музейных предметов и музейных коллекций.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Динамика доходов от приносящей доход деятельности по сравнению с аналогичным периодом прошлого года.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(год) на основе информации об исполнении плана финансово-хозяйственной деятельности учреждения.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Количество поданных заявок на музейные конкурсы и гранты (по российским и международным программам).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Внедрение дополнительных форм, проектов и методов работы.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5. Выполнение учреждением показателей объема и качества государственных услуг (работ).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 Исполнительская дисциплина руководителя учреждения (в том числе соблюдение сроков и порядка представления отчетов об основной деятельности учреждения, выполнения поручений).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полученной от руководителей структурных подразделений комитета.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7. Отсутствие задолженности по налогам и сборам.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8. Соблюдение сроков и порядка представления статистической и бухгалтерской отчетности, представление качественной оперативной информации.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полученной от ру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ководителей структурных подразделений комитета.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9. Положительные отзывы о деятельности учреждения.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10. Предписания контролирующих органов, в том числе по вопросам: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- содержания имущества, закрепленного за учреждением;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- соблюдения требований комплексной безопасности, охраны и антитеррористической защищенности учреждения.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представленной учреждением.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Применяется для: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ГКУ ЛО "Дирекция по сохранению объектов культурного наследия".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4"/>
        <w:gridCol w:w="2848"/>
        <w:gridCol w:w="1581"/>
        <w:gridCol w:w="692"/>
        <w:gridCol w:w="1998"/>
        <w:gridCol w:w="1925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Показатель эффективности (результативности) деятельности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Периодичность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Вес, %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309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Корректирующий коэффициент при отклонении фактических значений (Ф)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плановых (П)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6"/>
            </w:pPr>
            <w:r/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Позитивное отклонение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Негативное отклонение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 кассового плана по расходам областного бюджета Ленинградской области нарастающим итогом с начала года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Ф :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 не более 1,1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Ф :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 не более 1,1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Доля стоимости заключенных государственных контрактов (контрактов) в совокупном годовом объеме закупок согласно плану-графику нарастающим итогом с начала года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Ф :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 не более 1,1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Ф :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 не более 1,1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Исполнительская дисциплина руководителя учреждения (в том числе соблюдение сроков и порядка представления отчетов об основной деятельности учреждения, выполнения поручений)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Соблюдение сроков и порядка представления статистической и бюджетной отчетности, представление качественной оперативной информации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Квартал,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отсутствии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 наличии замечаний руководителей структурных подразделений комитета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 = 0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Методика расчета значения показателя эффективности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результативности деятельности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 Выполнение кассового плана по расходам областного бюджета Ленинградской области нарастающим итогом с начала года.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квартал на основе анализа планируемых и фактических кассовых выплат учреждения.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Доля стоимости заключенных государственных контрактов (контрактов) в совокупном годовом объеме закупок согласно плану-графику нарастающим итогом с начала года.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Исполнительская дисциплина руководителя учреждения (в том числе соблюдение сроков и порядка представления отчетов об основной деятельности учреждения, выполнения поручений).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полученной от руководителей структурных подразделений комитета.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Соблюдение сроков и порядка представления статистической и бухгалтерской отчетности, представление качественной оперативной информации.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Расчет значений показателя осуществляется за отчетный период (квартал, год) на основе отчетной информации, полученной от руководителей структурных подразделений комитета.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  <w:outlineLvl w:val="1"/>
      </w:pPr>
      <w:r>
        <w:rPr>
          <w:rFonts w:ascii="Times New Roman" w:hAnsi="Times New Roman" w:eastAsia="Times New Roman" w:cs="Times New Roman"/>
          <w:highlight w:val="white"/>
        </w:rPr>
        <w:t xml:space="preserve">Система сбора и контроля отчетных данных по КПЭ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 В целях установления выплат стимулирующего характера руководителю учреждения отчет по исполнению КПЭ за отчетный период по установленной форме направляется на официальную почту комитета </w:t>
      </w:r>
      <w:r>
        <w:rPr>
          <w:rFonts w:ascii="Times New Roman" w:hAnsi="Times New Roman" w:eastAsia="Times New Roman" w:cs="Times New Roman"/>
          <w:highlight w:val="white"/>
        </w:rPr>
        <w:t xml:space="preserve">по</w:t>
      </w:r>
      <w:r>
        <w:rPr>
          <w:rFonts w:ascii="Times New Roman" w:hAnsi="Times New Roman" w:eastAsia="Times New Roman" w:cs="Times New Roman"/>
          <w:highlight w:val="white"/>
        </w:rPr>
        <w:t xml:space="preserve"> сохранили </w:t>
      </w:r>
      <w:r>
        <w:rPr>
          <w:rFonts w:ascii="Times New Roman" w:hAnsi="Times New Roman" w:eastAsia="Times New Roman" w:cs="Times New Roman"/>
          <w:highlight w:val="white"/>
        </w:rPr>
        <w:t xml:space="preserve">культурного</w:t>
      </w:r>
      <w:r>
        <w:rPr>
          <w:rFonts w:ascii="Times New Roman" w:hAnsi="Times New Roman" w:eastAsia="Times New Roman" w:cs="Times New Roman"/>
          <w:highlight w:val="white"/>
        </w:rPr>
        <w:t xml:space="preserve"> наследия Ленинградской области: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1.1. в электронном виде в формате PDF;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1.2. в электронном виде в формате </w:t>
      </w:r>
      <w:r>
        <w:rPr>
          <w:rFonts w:ascii="Times New Roman" w:hAnsi="Times New Roman" w:eastAsia="Times New Roman" w:cs="Times New Roman"/>
          <w:highlight w:val="white"/>
        </w:rPr>
        <w:t xml:space="preserve">Microsoft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Exc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Форма отчета по исполнению КПЭ за отчетный период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"Отчет по исполнению показателей эффективности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 результативности деятельности за ___________ 20____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____________________________________________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(наименование учреждения)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818"/>
        <w:gridCol w:w="1077"/>
        <w:gridCol w:w="1644"/>
        <w:gridCol w:w="1373"/>
        <w:gridCol w:w="1644"/>
      </w:tblGrid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1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Наименование показателя эффективности (результативности) деятельности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квартал, год)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Факт &lt;*&gt;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white"/>
              </w:rPr>
              <w:t xml:space="preserve">Отклонение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1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.........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1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.........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1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.........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1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.........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86"/>
              <w:ind w:firstLine="2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--------------------------------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ind w:firstLine="28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Факт &lt;*&gt; - подтверждение обосновывающими документами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18"/>
        <w:gridCol w:w="2438"/>
        <w:gridCol w:w="340"/>
        <w:gridCol w:w="317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Руководитель учреждения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МП Подпись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Расшифровка подписи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Обосновывающие документы по фактическим показателям направляются ежеквартально и по итогам работы за год: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3.1. в электронном виде в формате *.PDF;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3.2. в электронном виде в формате </w:t>
      </w:r>
      <w:r>
        <w:rPr>
          <w:rFonts w:ascii="Times New Roman" w:hAnsi="Times New Roman" w:eastAsia="Times New Roman" w:cs="Times New Roman"/>
          <w:highlight w:val="white"/>
        </w:rPr>
        <w:t xml:space="preserve">Microsoft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Word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ind w:firstLine="540"/>
        <w:jc w:val="both"/>
        <w:spacing w:before="2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Срок представления формы "Отчет по исполнению показателей эффективности и результативности деятельности" - до 3 числа месяца, следующего за окончанием квартала, года.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hd w:val="nil" w:color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br w:type="page" w:clear="all"/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  <w:outlineLvl w:val="0"/>
      </w:pPr>
      <w:r>
        <w:rPr>
          <w:rFonts w:ascii="Times New Roman" w:hAnsi="Times New Roman" w:eastAsia="Times New Roman" w:cs="Times New Roman"/>
          <w:highlight w:val="white"/>
        </w:rPr>
        <w:t xml:space="preserve">ПРИЛОЖЕНИЕ 3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УТВЕРЖДЕНО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приказом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комитета по сохранению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культурного наследия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jc w:val="righ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 18.03.2021 N 01-03/21-29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eastAsia="Times New Roman" w:cs="Times New Roman"/>
          <w:highlight w:val="white"/>
        </w:rPr>
        <w:t xml:space="preserve">ПРИМЕРНЫЕ ПОКАЗАТЕЛИ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ЭФФЕКТИВНОСТИ И РЕЗУЛЬТАТИВНОСТИ ДЕЯТЕЛЬНОСТИ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ПОДВЕДОМСТВЕННЫХ УЧРЕЖДЕНИЙ ПО ВИДАМ ДЕЯТЕЛЬНОСТИ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6"/>
        <w:spacing w:after="1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(в ред. </w:t>
            </w:r>
            <w:hyperlink r:id="rId36" w:tooltip="https://login.consultant.ru/link/?req=doc&amp;base=SPB&amp;n=275724&amp;dst=100006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Приказа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 комитета по сохранению культурного наследия Ленинградской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highlight w:val="white"/>
              </w:rPr>
              <w:t xml:space="preserve">области от 23.06.2023 N 01-03/23-172)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Наименование показателя эффективности деятельности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 МУЗЕИ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музейных предметов, прошедших регистрацию и внесенных в музейный фонд в результате выполнения работ по выявлению и собиранию музейных предметов и музейных коллекций (единиц)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музейных предметов, прошедших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поколлекционную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сверку наличия (единиц)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музейных предметов, требующих реставрации в текущем году/количество отреставрированных музейных предметов (единиц)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предметов основного фонда, внесенных в Государственный каталог (единиц)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Доля опубликованных музейных предметов во всех формах (публичный показ в экспозиции или на выставках музея, на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учные публикации, предоставление музейных предметов на выставки других музеев, воспроизведение в печатных изданиях, на электронных и других видах носителей, в том числе в виртуальном режиме) в общем количестве музейных предметов основного фонда (процентов)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экспонируемых музейных предметов (экземпляров)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выставок (выставочных проектов) музея (единиц)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посетителей экспозиций и выставок в музее (единиц)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посещений информационных ресурсов музея в сети Интернет (сайт, страница в социальных сетях и т.п.)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Число музейных предметов, внесенных в электронный каталог, от общего числа основного фонда (проценты)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 ДИРЕКЦИЯ ПО СОХРАНЕНИЮ ОБЪЕКТОВ КУЛЬТУРНОГО НАСЛЕДИЯ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Доля объектов культурного наследия, на которых завершены ремонтно-реставрационные работы (этапы работ)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Доля объектов, в отношении которых проведены работы в рамках государственной охраны объектов культурного наследия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Доля стоимости заключенных государственных контрактов (контрактов) в совокупном годовом объеме закупок согласно плану-графику нарастающим итогом с начала года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 кассового плана по расходам областного бюджета Ленинградской области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бесплатных публикаций в СМИ, популяризующих (освещающих) деятельность учреждения, анонсы, новости о мероприятиях, опубликованные в сети Интернет (в том числе на официальном сайте комитета по сохранению культурного наследия Ленинградской области)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посещений информационных ресурсов учреждения в сети Интернет (сайт, страница в социальных сетях и т.п.)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9069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 МЕЖДУНАРОДНЫЙ ЦЕНТР РЕСТАВРАЦИИ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созданных экспозиций (выставок) музеев, организованных выездных выставок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музейных предметов, музейных коллекций, принятых на учет, изучение, обеспечение физического сохранения и безопасности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бесплатных публикаций в СМИ, популяризующих (освещающих) деятельность учреждения, анонсы, новости о мероприятиях, опубликованные в сети Интернет (в том числе на официальном сайте комитета по сохранению культурного наследия Ленинградской области)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организаций, с которыми заключены соглашения о взаимодействии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9069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 ПОКАЗАТЕЛИ ЭФФЕКТИВНОСТИ, ПРИМЕНЯЕМЫЕ ДЛЯ ВСЕХ ВИДОВ УЧРЕЖДЕНИЙ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нарушений сроков предоставления отчетности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замечаний по полноте и достоверности представленной информации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замечаний по выполнению должностных обязанностей со стороны руководителя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Наличие предложений по внедрению новых форм работы, улучшению собственной деятельности, структурного подразделения, учреждения, освоение инновационных форм работы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Выполнение кассового плана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Обеспечение комплексной безопасности учреждения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предписаний надзорных органов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Уровень удовлетворенности граждан качеством предоставления учреждением государственных услуг в сфере культуры (в процентах)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Количество работников учреждения, прошедших повышение квалификации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и(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или) профессиональную подготовку (человек)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Объем средств от оказания платных услуг и иной приносящей доход деятельности (тыс. рублей)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Публикации и освещение деятельности учреждения в средствах массовой информации (да/нет)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Размещение предусмотренных законодательством РФ сведений о деятельности учреждения на </w:t>
            </w:r>
            <w:hyperlink r:id="rId37" w:tooltip="bus.gov.ru" w:history="1">
              <w:r>
                <w:rPr>
                  <w:rFonts w:ascii="Times New Roman" w:hAnsi="Times New Roman" w:eastAsia="Times New Roman" w:cs="Times New Roman"/>
                  <w:color w:val="0000ff"/>
                  <w:highlight w:val="white"/>
                </w:rPr>
                <w:t xml:space="preserve">bus.gov.ru</w:t>
              </w:r>
            </w:hyperlink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- официальном сайте для размещения информации о государственных (муниципальных) учреждениях в сети Интернет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в отчетном периоде случаев несвоевременного представления ежемесячной и годовой бюджетной (бухгалтерской) отчетности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Отсутствие фактов допущения ошибок в предоставленной бюджетной (бухгалтерской) отчетности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Соотношение кассовых расходов и плановых объемов бюджетных ассигнований ГРБС в отчетном году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6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8503" w:type="dxa"/>
            <w:textDirection w:val="lrTb"/>
            <w:noWrap w:val="false"/>
          </w:tcPr>
          <w:p>
            <w:pPr>
              <w:pStyle w:val="986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Степень достижения целевых показателей, предусматриваемых соглашениями о предоставлении субсидий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86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9020204030204"/>
  </w:font>
  <w:font w:name="Georgia">
    <w:panose1 w:val="02040502050405020303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853363"/>
      <w:docPartObj>
        <w:docPartGallery w:val="Page Numbers (Bottom of Page)"/>
        <w:docPartUnique w:val="true"/>
      </w:docPartObj>
      <w:rPr/>
    </w:sdtPr>
    <w:sdtContent>
      <w:p>
        <w:pPr>
          <w:pStyle w:val="10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28</w:t>
        </w:r>
        <w:r>
          <w:fldChar w:fldCharType="end"/>
        </w:r>
        <w:r/>
      </w:p>
    </w:sdtContent>
  </w:sdt>
  <w:p>
    <w:pPr>
      <w:pStyle w:val="101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12"/>
        <w:jc w:val="both"/>
      </w:pPr>
      <w:r>
        <w:rPr>
          <w:rStyle w:val="1013"/>
        </w:rPr>
        <w:t xml:space="preserve">*</w:t>
      </w:r>
      <w:r>
        <w:t xml:space="preserve"> Заполняется в случае утверждения показателей для учреждения.</w:t>
      </w:r>
      <w:r/>
    </w:p>
  </w:footnote>
  <w:footnote w:id="3">
    <w:p>
      <w:pPr>
        <w:pStyle w:val="1023"/>
      </w:pPr>
      <w:r>
        <w:rPr>
          <w:rStyle w:val="1026"/>
        </w:rPr>
        <w:footnoteRef/>
      </w:r>
      <w:r>
        <w:t xml:space="preserve"> При изменении состава перечня должностей работников, относимых к основному персоналу, для определения размера должностного окл</w:t>
      </w:r>
      <w:r>
        <w:t xml:space="preserve">ада руководителя и (или) изменения размера расчетной величины производится перерасчет должностного оклада руководителя в соответствии с требованиями действующего законодательства</w:t>
      </w:r>
      <w:r/>
    </w:p>
    <w:p>
      <w:pPr>
        <w:pStyle w:val="1023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8818305"/>
      <w:docPartObj>
        <w:docPartGallery w:val="Page Numbers (Top of Page)"/>
        <w:docPartUnique w:val="true"/>
      </w:docPartObj>
      <w:rPr/>
    </w:sdtPr>
    <w:sdtContent>
      <w:p>
        <w:pPr>
          <w:pStyle w:val="100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20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37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5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99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3255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55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9"/>
  </w:num>
  <w:num w:numId="6">
    <w:abstractNumId w:val="20"/>
  </w:num>
  <w:num w:numId="7">
    <w:abstractNumId w:val="15"/>
  </w:num>
  <w:num w:numId="8">
    <w:abstractNumId w:val="9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0" w:default="1">
    <w:name w:val="Normal"/>
    <w:qFormat/>
  </w:style>
  <w:style w:type="paragraph" w:styleId="811">
    <w:name w:val="Heading 1"/>
    <w:basedOn w:val="810"/>
    <w:next w:val="810"/>
    <w:link w:val="99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12">
    <w:name w:val="Heading 2"/>
    <w:basedOn w:val="810"/>
    <w:next w:val="810"/>
    <w:link w:val="991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3">
    <w:name w:val="Heading 3"/>
    <w:basedOn w:val="810"/>
    <w:next w:val="810"/>
    <w:link w:val="998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14">
    <w:name w:val="Heading 4"/>
    <w:basedOn w:val="810"/>
    <w:next w:val="810"/>
    <w:link w:val="83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83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84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17">
    <w:name w:val="Heading 7"/>
    <w:basedOn w:val="810"/>
    <w:next w:val="810"/>
    <w:link w:val="84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18">
    <w:name w:val="Heading 8"/>
    <w:basedOn w:val="810"/>
    <w:next w:val="810"/>
    <w:link w:val="84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19">
    <w:name w:val="Heading 9"/>
    <w:basedOn w:val="810"/>
    <w:next w:val="810"/>
    <w:link w:val="84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Heading 4 Char"/>
    <w:basedOn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Heading 5 Char"/>
    <w:basedOn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Heading 6 Char"/>
    <w:basedOn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Heading 7 Char"/>
    <w:basedOn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Heading 8 Char"/>
    <w:basedOn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Heading 9 Char"/>
    <w:basedOn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829" w:customStyle="1">
    <w:name w:val="Title Char"/>
    <w:basedOn w:val="820"/>
    <w:uiPriority w:val="10"/>
    <w:rPr>
      <w:sz w:val="48"/>
      <w:szCs w:val="48"/>
    </w:rPr>
  </w:style>
  <w:style w:type="character" w:styleId="830" w:customStyle="1">
    <w:name w:val="Subtitle Char"/>
    <w:basedOn w:val="820"/>
    <w:uiPriority w:val="11"/>
    <w:rPr>
      <w:sz w:val="24"/>
      <w:szCs w:val="24"/>
    </w:rPr>
  </w:style>
  <w:style w:type="character" w:styleId="831" w:customStyle="1">
    <w:name w:val="Quote Char"/>
    <w:uiPriority w:val="29"/>
    <w:rPr>
      <w:i/>
    </w:rPr>
  </w:style>
  <w:style w:type="character" w:styleId="832" w:customStyle="1">
    <w:name w:val="Intense Quote Char"/>
    <w:uiPriority w:val="30"/>
    <w:rPr>
      <w:i/>
    </w:rPr>
  </w:style>
  <w:style w:type="character" w:styleId="833" w:customStyle="1">
    <w:name w:val="Caption Char"/>
    <w:basedOn w:val="820"/>
    <w:uiPriority w:val="35"/>
    <w:rPr>
      <w:b/>
      <w:bCs/>
      <w:color w:val="4f81bd" w:themeColor="accent1"/>
      <w:sz w:val="18"/>
      <w:szCs w:val="18"/>
    </w:rPr>
  </w:style>
  <w:style w:type="character" w:styleId="834" w:customStyle="1">
    <w:name w:val="Endnote Text Char"/>
    <w:uiPriority w:val="99"/>
    <w:rPr>
      <w:sz w:val="20"/>
    </w:rPr>
  </w:style>
  <w:style w:type="character" w:styleId="835" w:customStyle="1">
    <w:name w:val="Heading 1 Char"/>
    <w:basedOn w:val="820"/>
    <w:uiPriority w:val="9"/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20"/>
    <w:uiPriority w:val="9"/>
    <w:rPr>
      <w:rFonts w:ascii="Arial" w:hAnsi="Arial" w:eastAsia="Arial" w:cs="Arial"/>
      <w:sz w:val="34"/>
    </w:rPr>
  </w:style>
  <w:style w:type="character" w:styleId="837" w:customStyle="1">
    <w:name w:val="Heading 3 Char"/>
    <w:basedOn w:val="820"/>
    <w:uiPriority w:val="9"/>
    <w:rPr>
      <w:rFonts w:ascii="Arial" w:hAnsi="Arial" w:eastAsia="Arial" w:cs="Arial"/>
      <w:sz w:val="30"/>
      <w:szCs w:val="30"/>
    </w:rPr>
  </w:style>
  <w:style w:type="character" w:styleId="838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Заголовок 5 Знак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Заголовок 6 Знак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44">
    <w:name w:val="Title"/>
    <w:basedOn w:val="810"/>
    <w:next w:val="810"/>
    <w:link w:val="845"/>
    <w:uiPriority w:val="10"/>
    <w:qFormat/>
    <w:pPr>
      <w:contextualSpacing/>
      <w:spacing w:before="300"/>
    </w:pPr>
    <w:rPr>
      <w:sz w:val="48"/>
      <w:szCs w:val="48"/>
    </w:rPr>
  </w:style>
  <w:style w:type="character" w:styleId="845" w:customStyle="1">
    <w:name w:val="Название Знак"/>
    <w:basedOn w:val="820"/>
    <w:link w:val="844"/>
    <w:uiPriority w:val="10"/>
    <w:rPr>
      <w:sz w:val="48"/>
      <w:szCs w:val="48"/>
    </w:rPr>
  </w:style>
  <w:style w:type="paragraph" w:styleId="846">
    <w:name w:val="Subtitle"/>
    <w:basedOn w:val="810"/>
    <w:next w:val="810"/>
    <w:link w:val="847"/>
    <w:uiPriority w:val="11"/>
    <w:qFormat/>
    <w:pPr>
      <w:spacing w:before="200"/>
    </w:pPr>
    <w:rPr>
      <w:sz w:val="24"/>
      <w:szCs w:val="24"/>
    </w:rPr>
  </w:style>
  <w:style w:type="character" w:styleId="847" w:customStyle="1">
    <w:name w:val="Подзаголовок Знак"/>
    <w:basedOn w:val="820"/>
    <w:link w:val="846"/>
    <w:uiPriority w:val="11"/>
    <w:rPr>
      <w:sz w:val="24"/>
      <w:szCs w:val="24"/>
    </w:rPr>
  </w:style>
  <w:style w:type="paragraph" w:styleId="848">
    <w:name w:val="Quote"/>
    <w:basedOn w:val="810"/>
    <w:next w:val="810"/>
    <w:link w:val="849"/>
    <w:uiPriority w:val="29"/>
    <w:qFormat/>
    <w:pPr>
      <w:ind w:left="720" w:right="720"/>
    </w:pPr>
    <w:rPr>
      <w:i/>
    </w:rPr>
  </w:style>
  <w:style w:type="character" w:styleId="849" w:customStyle="1">
    <w:name w:val="Цитата 2 Знак"/>
    <w:link w:val="848"/>
    <w:uiPriority w:val="29"/>
    <w:rPr>
      <w:i/>
    </w:rPr>
  </w:style>
  <w:style w:type="paragraph" w:styleId="850">
    <w:name w:val="Intense Quote"/>
    <w:basedOn w:val="810"/>
    <w:next w:val="810"/>
    <w:link w:val="8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1" w:customStyle="1">
    <w:name w:val="Выделенная цитата Знак"/>
    <w:link w:val="850"/>
    <w:uiPriority w:val="30"/>
    <w:rPr>
      <w:i/>
    </w:rPr>
  </w:style>
  <w:style w:type="character" w:styleId="852" w:customStyle="1">
    <w:name w:val="Header Char"/>
    <w:basedOn w:val="820"/>
    <w:uiPriority w:val="99"/>
  </w:style>
  <w:style w:type="character" w:styleId="853" w:customStyle="1">
    <w:name w:val="Footer Char"/>
    <w:basedOn w:val="820"/>
    <w:uiPriority w:val="99"/>
  </w:style>
  <w:style w:type="paragraph" w:styleId="854">
    <w:name w:val="Caption"/>
    <w:basedOn w:val="810"/>
    <w:next w:val="810"/>
    <w:link w:val="85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55" w:customStyle="1">
    <w:name w:val="Название объекта Знак"/>
    <w:basedOn w:val="820"/>
    <w:link w:val="854"/>
    <w:uiPriority w:val="35"/>
    <w:rPr>
      <w:b/>
      <w:bCs/>
      <w:color w:val="4f81bd" w:themeColor="accent1"/>
      <w:sz w:val="18"/>
      <w:szCs w:val="18"/>
    </w:rPr>
  </w:style>
  <w:style w:type="table" w:styleId="856" w:customStyle="1">
    <w:name w:val="Table Grid Light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7">
    <w:name w:val="Plain Table 1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8">
    <w:name w:val="Plain Table 2"/>
    <w:basedOn w:val="8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9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0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2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4" w:customStyle="1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5" w:customStyle="1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7" w:customStyle="1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9" w:customStyle="1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0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7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8" w:customStyle="1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9" w:customStyle="1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0" w:customStyle="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1" w:customStyle="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2" w:customStyle="1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3" w:customStyle="1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4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9" w:customStyle="1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0" w:customStyle="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1" w:customStyle="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5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1" w:customStyle="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2" w:customStyle="1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7" w:customStyle="1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8" w:customStyle="1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9" w:customStyle="1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0" w:customStyle="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1" w:customStyle="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2" w:customStyle="1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3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1" w:customStyle="1">
    <w:name w:val="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2" w:customStyle="1">
    <w:name w:val="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3" w:customStyle="1">
    <w:name w:val="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4" w:customStyle="1">
    <w:name w:val="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5" w:customStyle="1">
    <w:name w:val="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6" w:customStyle="1">
    <w:name w:val="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7" w:customStyle="1">
    <w:name w:val="Bordered &amp; 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8" w:customStyle="1">
    <w:name w:val="Bordered &amp; 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9" w:customStyle="1">
    <w:name w:val="Bordered &amp; 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0" w:customStyle="1">
    <w:name w:val="Bordered &amp; 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1" w:customStyle="1">
    <w:name w:val="Bordered &amp; 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2" w:customStyle="1">
    <w:name w:val="Bordered &amp; 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3" w:customStyle="1">
    <w:name w:val="Bordered &amp; 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4" w:customStyle="1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5" w:customStyle="1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6" w:customStyle="1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7" w:customStyle="1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8" w:customStyle="1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9" w:customStyle="1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0" w:customStyle="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81" w:customStyle="1">
    <w:name w:val="Footnote Text Char"/>
    <w:uiPriority w:val="99"/>
    <w:rPr>
      <w:sz w:val="18"/>
    </w:rPr>
  </w:style>
  <w:style w:type="paragraph" w:styleId="982">
    <w:name w:val="endnote text"/>
    <w:basedOn w:val="810"/>
    <w:link w:val="983"/>
    <w:uiPriority w:val="99"/>
    <w:semiHidden/>
    <w:unhideWhenUsed/>
    <w:pPr>
      <w:spacing w:after="0" w:line="240" w:lineRule="auto"/>
    </w:pPr>
    <w:rPr>
      <w:sz w:val="20"/>
    </w:rPr>
  </w:style>
  <w:style w:type="character" w:styleId="983" w:customStyle="1">
    <w:name w:val="Текст концевой сноски Знак"/>
    <w:link w:val="982"/>
    <w:uiPriority w:val="99"/>
    <w:rPr>
      <w:sz w:val="20"/>
    </w:rPr>
  </w:style>
  <w:style w:type="character" w:styleId="984">
    <w:name w:val="endnote reference"/>
    <w:basedOn w:val="820"/>
    <w:uiPriority w:val="99"/>
    <w:semiHidden/>
    <w:unhideWhenUsed/>
    <w:rPr>
      <w:vertAlign w:val="superscript"/>
    </w:rPr>
  </w:style>
  <w:style w:type="paragraph" w:styleId="985">
    <w:name w:val="table of figures"/>
    <w:basedOn w:val="810"/>
    <w:next w:val="810"/>
    <w:uiPriority w:val="99"/>
    <w:unhideWhenUsed/>
    <w:pPr>
      <w:spacing w:after="0"/>
    </w:pPr>
  </w:style>
  <w:style w:type="paragraph" w:styleId="98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8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8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89">
    <w:name w:val="List Paragraph"/>
    <w:basedOn w:val="810"/>
    <w:uiPriority w:val="34"/>
    <w:qFormat/>
    <w:pPr>
      <w:contextualSpacing/>
      <w:ind w:left="720"/>
    </w:pPr>
  </w:style>
  <w:style w:type="character" w:styleId="990" w:customStyle="1">
    <w:name w:val="Заголовок 1 Знак"/>
    <w:basedOn w:val="820"/>
    <w:link w:val="81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91" w:customStyle="1">
    <w:name w:val="Заголовок 2 Знак"/>
    <w:basedOn w:val="820"/>
    <w:link w:val="81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92">
    <w:name w:val="TOC Heading"/>
    <w:basedOn w:val="811"/>
    <w:next w:val="810"/>
    <w:uiPriority w:val="39"/>
    <w:unhideWhenUsed/>
    <w:qFormat/>
    <w:pPr>
      <w:outlineLvl w:val="9"/>
    </w:pPr>
    <w:rPr>
      <w:lang w:eastAsia="ru-RU"/>
    </w:rPr>
  </w:style>
  <w:style w:type="paragraph" w:styleId="993">
    <w:name w:val="toc 1"/>
    <w:basedOn w:val="810"/>
    <w:next w:val="810"/>
    <w:uiPriority w:val="39"/>
    <w:unhideWhenUsed/>
    <w:pPr>
      <w:spacing w:after="100"/>
    </w:pPr>
  </w:style>
  <w:style w:type="paragraph" w:styleId="994">
    <w:name w:val="toc 2"/>
    <w:basedOn w:val="810"/>
    <w:next w:val="810"/>
    <w:uiPriority w:val="39"/>
    <w:unhideWhenUsed/>
    <w:pPr>
      <w:ind w:left="220"/>
      <w:spacing w:after="100"/>
    </w:pPr>
  </w:style>
  <w:style w:type="character" w:styleId="995">
    <w:name w:val="Hyperlink"/>
    <w:basedOn w:val="820"/>
    <w:uiPriority w:val="99"/>
    <w:unhideWhenUsed/>
    <w:rPr>
      <w:color w:val="0000ff" w:themeColor="hyperlink"/>
      <w:u w:val="single"/>
    </w:rPr>
  </w:style>
  <w:style w:type="paragraph" w:styleId="996">
    <w:name w:val="Balloon Text"/>
    <w:basedOn w:val="810"/>
    <w:link w:val="9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97" w:customStyle="1">
    <w:name w:val="Текст выноски Знак"/>
    <w:basedOn w:val="820"/>
    <w:link w:val="996"/>
    <w:uiPriority w:val="99"/>
    <w:semiHidden/>
    <w:rPr>
      <w:rFonts w:ascii="Tahoma" w:hAnsi="Tahoma" w:cs="Tahoma"/>
      <w:sz w:val="16"/>
      <w:szCs w:val="16"/>
    </w:rPr>
  </w:style>
  <w:style w:type="character" w:styleId="998" w:customStyle="1">
    <w:name w:val="Заголовок 3 Знак"/>
    <w:basedOn w:val="820"/>
    <w:link w:val="81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99">
    <w:name w:val="toc 3"/>
    <w:basedOn w:val="810"/>
    <w:next w:val="810"/>
    <w:uiPriority w:val="39"/>
    <w:unhideWhenUsed/>
    <w:pPr>
      <w:spacing w:after="100"/>
      <w:tabs>
        <w:tab w:val="right" w:pos="9345" w:leader="underscore"/>
      </w:tabs>
    </w:pPr>
  </w:style>
  <w:style w:type="paragraph" w:styleId="1000" w:customStyle="1">
    <w:name w:val="p2"/>
    <w:basedOn w:val="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p3"/>
    <w:basedOn w:val="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2" w:customStyle="1">
    <w:name w:val="s1"/>
    <w:basedOn w:val="820"/>
  </w:style>
  <w:style w:type="character" w:styleId="1003" w:customStyle="1">
    <w:name w:val="s2"/>
    <w:basedOn w:val="820"/>
  </w:style>
  <w:style w:type="paragraph" w:styleId="1004" w:customStyle="1">
    <w:name w:val="p5"/>
    <w:basedOn w:val="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5" w:customStyle="1">
    <w:name w:val="p6"/>
    <w:basedOn w:val="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 w:customStyle="1">
    <w:name w:val="p7"/>
    <w:basedOn w:val="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 w:customStyle="1">
    <w:name w:val="p10"/>
    <w:basedOn w:val="8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>
    <w:name w:val="Header"/>
    <w:basedOn w:val="810"/>
    <w:link w:val="10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9" w:customStyle="1">
    <w:name w:val="Верхний колонтитул Знак"/>
    <w:basedOn w:val="820"/>
    <w:link w:val="1008"/>
    <w:uiPriority w:val="99"/>
  </w:style>
  <w:style w:type="paragraph" w:styleId="1010">
    <w:name w:val="Footer"/>
    <w:basedOn w:val="810"/>
    <w:link w:val="10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1" w:customStyle="1">
    <w:name w:val="Нижний колонтитул Знак"/>
    <w:basedOn w:val="820"/>
    <w:link w:val="1010"/>
    <w:uiPriority w:val="99"/>
  </w:style>
  <w:style w:type="paragraph" w:styleId="1012" w:customStyle="1">
    <w:name w:val="текст сноски"/>
    <w:basedOn w:val="8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3" w:customStyle="1">
    <w:name w:val="знак сноски"/>
    <w:uiPriority w:val="99"/>
    <w:rPr>
      <w:rFonts w:cs="Times New Roman"/>
      <w:vertAlign w:val="superscript"/>
    </w:rPr>
  </w:style>
  <w:style w:type="character" w:styleId="1014" w:customStyle="1">
    <w:name w:val="Основной текст (2)_"/>
    <w:basedOn w:val="820"/>
    <w:link w:val="1015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15" w:customStyle="1">
    <w:name w:val="Основной текст (2)"/>
    <w:basedOn w:val="810"/>
    <w:link w:val="1014"/>
    <w:pPr>
      <w:jc w:val="center"/>
      <w:spacing w:after="0" w:line="307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table" w:styleId="1016">
    <w:name w:val="Table Grid"/>
    <w:basedOn w:val="8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7">
    <w:name w:val="toc 4"/>
    <w:basedOn w:val="810"/>
    <w:next w:val="810"/>
    <w:uiPriority w:val="39"/>
    <w:unhideWhenUsed/>
    <w:pPr>
      <w:ind w:left="660"/>
      <w:spacing w:after="100"/>
    </w:pPr>
    <w:rPr>
      <w:rFonts w:eastAsiaTheme="minorEastAsia"/>
      <w:lang w:eastAsia="ru-RU"/>
    </w:rPr>
  </w:style>
  <w:style w:type="paragraph" w:styleId="1018">
    <w:name w:val="toc 5"/>
    <w:basedOn w:val="810"/>
    <w:next w:val="810"/>
    <w:uiPriority w:val="39"/>
    <w:unhideWhenUsed/>
    <w:pPr>
      <w:ind w:left="880"/>
      <w:spacing w:after="100"/>
    </w:pPr>
    <w:rPr>
      <w:rFonts w:eastAsiaTheme="minorEastAsia"/>
      <w:lang w:eastAsia="ru-RU"/>
    </w:rPr>
  </w:style>
  <w:style w:type="paragraph" w:styleId="1019">
    <w:name w:val="toc 6"/>
    <w:basedOn w:val="810"/>
    <w:next w:val="810"/>
    <w:uiPriority w:val="39"/>
    <w:unhideWhenUsed/>
    <w:pPr>
      <w:ind w:left="1100"/>
      <w:spacing w:after="100"/>
    </w:pPr>
    <w:rPr>
      <w:rFonts w:eastAsiaTheme="minorEastAsia"/>
      <w:lang w:eastAsia="ru-RU"/>
    </w:rPr>
  </w:style>
  <w:style w:type="paragraph" w:styleId="1020">
    <w:name w:val="toc 7"/>
    <w:basedOn w:val="810"/>
    <w:next w:val="810"/>
    <w:uiPriority w:val="39"/>
    <w:unhideWhenUsed/>
    <w:pPr>
      <w:ind w:left="1320"/>
      <w:spacing w:after="100"/>
    </w:pPr>
    <w:rPr>
      <w:rFonts w:eastAsiaTheme="minorEastAsia"/>
      <w:lang w:eastAsia="ru-RU"/>
    </w:rPr>
  </w:style>
  <w:style w:type="paragraph" w:styleId="1021">
    <w:name w:val="toc 8"/>
    <w:basedOn w:val="810"/>
    <w:next w:val="810"/>
    <w:uiPriority w:val="39"/>
    <w:unhideWhenUsed/>
    <w:pPr>
      <w:ind w:left="1540"/>
      <w:spacing w:after="100"/>
    </w:pPr>
    <w:rPr>
      <w:rFonts w:eastAsiaTheme="minorEastAsia"/>
      <w:lang w:eastAsia="ru-RU"/>
    </w:rPr>
  </w:style>
  <w:style w:type="paragraph" w:styleId="1022">
    <w:name w:val="toc 9"/>
    <w:basedOn w:val="810"/>
    <w:next w:val="810"/>
    <w:uiPriority w:val="39"/>
    <w:unhideWhenUsed/>
    <w:pPr>
      <w:ind w:left="1760"/>
      <w:spacing w:after="100"/>
    </w:pPr>
    <w:rPr>
      <w:rFonts w:eastAsiaTheme="minorEastAsia"/>
      <w:lang w:eastAsia="ru-RU"/>
    </w:rPr>
  </w:style>
  <w:style w:type="paragraph" w:styleId="1023">
    <w:name w:val="footnote text"/>
    <w:basedOn w:val="810"/>
    <w:link w:val="1024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24" w:customStyle="1">
    <w:name w:val="Текст сноски Знак"/>
    <w:basedOn w:val="820"/>
    <w:link w:val="1023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26">
    <w:name w:val="footnote reference"/>
    <w:semiHidden/>
    <w:unhideWhenUsed/>
    <w:rPr>
      <w:vertAlign w:val="superscript"/>
    </w:rPr>
  </w:style>
  <w:style w:type="paragraph" w:styleId="1027" w:customStyle="1">
    <w:name w:val="Pro-Gramma"/>
    <w:basedOn w:val="810"/>
    <w:link w:val="1028"/>
    <w:qFormat/>
    <w:pPr>
      <w:ind w:left="1134"/>
      <w:jc w:val="both"/>
      <w:spacing w:before="120" w:after="0" w:line="288" w:lineRule="auto"/>
    </w:pPr>
    <w:rPr>
      <w:rFonts w:ascii="Georgia" w:hAnsi="Georgia" w:eastAsia="Times New Roman" w:cs="Times New Roman"/>
      <w:sz w:val="20"/>
      <w:szCs w:val="24"/>
      <w:lang w:eastAsia="ru-RU"/>
    </w:rPr>
  </w:style>
  <w:style w:type="character" w:styleId="1028" w:customStyle="1">
    <w:name w:val="Pro-Gramma Знак"/>
    <w:basedOn w:val="820"/>
    <w:link w:val="1027"/>
    <w:rPr>
      <w:rFonts w:ascii="Georgia" w:hAnsi="Georgia" w:eastAsia="Times New Roman" w:cs="Times New Roman"/>
      <w:sz w:val="20"/>
      <w:szCs w:val="24"/>
      <w:lang w:eastAsia="ru-RU"/>
    </w:rPr>
  </w:style>
  <w:style w:type="table" w:styleId="1029" w:customStyle="1">
    <w:name w:val="Сетка таблицы1"/>
    <w:basedOn w:val="821"/>
    <w:next w:val="1016"/>
    <w:uiPriority w:val="59"/>
    <w:pPr>
      <w:spacing w:after="4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0" w:customStyle="1">
    <w:name w:val="Сетка таблицы2"/>
    <w:basedOn w:val="821"/>
    <w:next w:val="101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1" w:customStyle="1">
    <w:name w:val="Сетка таблицы3"/>
    <w:basedOn w:val="821"/>
    <w:next w:val="1016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2">
    <w:name w:val="No Spacing"/>
    <w:uiPriority w:val="1"/>
    <w:qFormat/>
    <w:pPr>
      <w:spacing w:after="0" w:line="240" w:lineRule="auto"/>
    </w:pPr>
  </w:style>
  <w:style w:type="character" w:styleId="1033">
    <w:name w:val="annotation reference"/>
    <w:basedOn w:val="820"/>
    <w:uiPriority w:val="99"/>
    <w:semiHidden/>
    <w:unhideWhenUsed/>
    <w:rPr>
      <w:sz w:val="16"/>
      <w:szCs w:val="16"/>
    </w:rPr>
  </w:style>
  <w:style w:type="paragraph" w:styleId="1034">
    <w:name w:val="annotation text"/>
    <w:basedOn w:val="810"/>
    <w:link w:val="10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35" w:customStyle="1">
    <w:name w:val="Текст примечания Знак"/>
    <w:basedOn w:val="820"/>
    <w:link w:val="1034"/>
    <w:uiPriority w:val="99"/>
    <w:semiHidden/>
    <w:rPr>
      <w:sz w:val="20"/>
      <w:szCs w:val="20"/>
    </w:rPr>
  </w:style>
  <w:style w:type="paragraph" w:styleId="1036">
    <w:name w:val="annotation subject"/>
    <w:basedOn w:val="1034"/>
    <w:next w:val="1034"/>
    <w:link w:val="1037"/>
    <w:uiPriority w:val="99"/>
    <w:semiHidden/>
    <w:unhideWhenUsed/>
    <w:rPr>
      <w:b/>
      <w:bCs/>
    </w:rPr>
  </w:style>
  <w:style w:type="character" w:styleId="1037" w:customStyle="1">
    <w:name w:val="Тема примечания Знак"/>
    <w:basedOn w:val="1035"/>
    <w:link w:val="1036"/>
    <w:uiPriority w:val="99"/>
    <w:semiHidden/>
    <w:rPr>
      <w:b/>
      <w:bCs/>
      <w:sz w:val="20"/>
      <w:szCs w:val="20"/>
    </w:rPr>
  </w:style>
  <w:style w:type="paragraph" w:styleId="1038">
    <w:name w:val="HTML Preformatted"/>
    <w:basedOn w:val="810"/>
    <w:link w:val="1039"/>
    <w:uiPriority w:val="99"/>
    <w:unhideWhenUsed/>
    <w:pPr>
      <w:ind w:firstLine="709"/>
      <w:spacing w:after="0" w:line="240" w:lineRule="auto"/>
    </w:pPr>
    <w:rPr>
      <w:rFonts w:ascii="Consolas" w:hAnsi="Consolas"/>
      <w:sz w:val="20"/>
      <w:szCs w:val="20"/>
    </w:rPr>
  </w:style>
  <w:style w:type="character" w:styleId="1039" w:customStyle="1">
    <w:name w:val="Стандартный HTML Знак"/>
    <w:basedOn w:val="820"/>
    <w:link w:val="1038"/>
    <w:uiPriority w:val="99"/>
    <w:rPr>
      <w:rFonts w:ascii="Consolas" w:hAnsi="Consolas"/>
      <w:sz w:val="20"/>
      <w:szCs w:val="20"/>
    </w:rPr>
  </w:style>
  <w:style w:type="character" w:styleId="1040" w:customStyle="1">
    <w:name w:val="long_copy"/>
    <w:basedOn w:val="820"/>
  </w:style>
  <w:style w:type="paragraph" w:styleId="1041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cons-ud.lenreg.ru/cgi/online.cgi?req=doc&amp;base=LAW&amp;n=523306&amp;date=26.03.2026" TargetMode="External"/><Relationship Id="rId17" Type="http://schemas.openxmlformats.org/officeDocument/2006/relationships/hyperlink" Target="https://cons-ud.lenreg.ru/cgi/online.cgi?req=doc&amp;base=LAW&amp;n=523305&amp;date=26.03.2026" TargetMode="External"/><Relationship Id="rId18" Type="http://schemas.openxmlformats.org/officeDocument/2006/relationships/hyperlink" Target="consultantplus://offline/ref=CA107EE8128D027B56C74B589C9A36E78B827D89F70648AE6ACBC1C7F1PDfFO" TargetMode="External"/><Relationship Id="rId19" Type="http://schemas.openxmlformats.org/officeDocument/2006/relationships/hyperlink" Target="https://login.consultant.ru/link/?req=doc&amp;base=SPB&amp;n=257740&amp;dst=100005" TargetMode="External"/><Relationship Id="rId20" Type="http://schemas.openxmlformats.org/officeDocument/2006/relationships/hyperlink" Target="https://login.consultant.ru/link/?req=doc&amp;base=SPB&amp;n=275724&amp;dst=100005" TargetMode="External"/><Relationship Id="rId21" Type="http://schemas.openxmlformats.org/officeDocument/2006/relationships/hyperlink" Target="https://login.consultant.ru/link/?req=doc&amp;base=SPB&amp;n=286133&amp;dst=100005" TargetMode="External"/><Relationship Id="rId22" Type="http://schemas.openxmlformats.org/officeDocument/2006/relationships/hyperlink" Target="https://login.consultant.ru/link/?req=doc&amp;base=SPB&amp;n=308790&amp;dst=100005" TargetMode="External"/><Relationship Id="rId23" Type="http://schemas.openxmlformats.org/officeDocument/2006/relationships/hyperlink" Target="https://login.consultant.ru/link/?req=doc&amp;base=SPB&amp;n=331344" TargetMode="External"/><Relationship Id="rId24" Type="http://schemas.openxmlformats.org/officeDocument/2006/relationships/hyperlink" Target="https://login.consultant.ru/link/?req=doc&amp;base=SPB&amp;n=257740&amp;dst=100005" TargetMode="External"/><Relationship Id="rId25" Type="http://schemas.openxmlformats.org/officeDocument/2006/relationships/hyperlink" Target="https://login.consultant.ru/link/?req=doc&amp;base=SPB&amp;n=308790&amp;dst=100006" TargetMode="External"/><Relationship Id="rId26" Type="http://schemas.openxmlformats.org/officeDocument/2006/relationships/hyperlink" Target="https://login.consultant.ru/link/?req=doc&amp;base=SPB&amp;n=257740&amp;dst=100006" TargetMode="External"/><Relationship Id="rId27" Type="http://schemas.openxmlformats.org/officeDocument/2006/relationships/image" Target="media/image1.png"/><Relationship Id="rId28" Type="http://schemas.openxmlformats.org/officeDocument/2006/relationships/image" Target="media/media1.svg"/><Relationship Id="rId29" Type="http://schemas.openxmlformats.org/officeDocument/2006/relationships/hyperlink" Target="https://login.consultant.ru/link/?req=doc&amp;base=SPB&amp;n=257740&amp;dst=100007" TargetMode="External"/><Relationship Id="rId30" Type="http://schemas.openxmlformats.org/officeDocument/2006/relationships/hyperlink" Target="https://login.consultant.ru/link/?req=doc&amp;base=SPB&amp;n=257740&amp;dst=100007" TargetMode="External"/><Relationship Id="rId31" Type="http://schemas.openxmlformats.org/officeDocument/2006/relationships/image" Target="media/image2.png"/><Relationship Id="rId32" Type="http://schemas.openxmlformats.org/officeDocument/2006/relationships/image" Target="media/media2.svg"/><Relationship Id="rId33" Type="http://schemas.openxmlformats.org/officeDocument/2006/relationships/hyperlink" Target="bus.gov.ru" TargetMode="External"/><Relationship Id="rId34" Type="http://schemas.openxmlformats.org/officeDocument/2006/relationships/hyperlink" Target="https://login.consultant.ru/link/?req=doc&amp;base=SPB&amp;n=308790&amp;dst=100006" TargetMode="External"/><Relationship Id="rId35" Type="http://schemas.openxmlformats.org/officeDocument/2006/relationships/hyperlink" Target="https://login.consultant.ru/link/?req=doc&amp;base=SPB&amp;n=286133&amp;dst=100005" TargetMode="External"/><Relationship Id="rId36" Type="http://schemas.openxmlformats.org/officeDocument/2006/relationships/hyperlink" Target="https://login.consultant.ru/link/?req=doc&amp;base=SPB&amp;n=275724&amp;dst=100006" TargetMode="External"/><Relationship Id="rId37" Type="http://schemas.openxmlformats.org/officeDocument/2006/relationships/hyperlink" Target="bus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A843-C4F9-4BA2-9CED-CA8A355E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 Вячеславович Батков</dc:creator>
  <cp:lastModifiedBy>tiu_ilina</cp:lastModifiedBy>
  <cp:revision>47</cp:revision>
  <dcterms:created xsi:type="dcterms:W3CDTF">2025-05-27T07:48:00Z</dcterms:created>
  <dcterms:modified xsi:type="dcterms:W3CDTF">2026-06-11T08:54:04Z</dcterms:modified>
</cp:coreProperties>
</file>