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30F3">
        <w:rPr>
          <w:rFonts w:ascii="Times New Roman" w:hAnsi="Times New Roman" w:cs="Times New Roman"/>
          <w:sz w:val="24"/>
          <w:szCs w:val="24"/>
        </w:rPr>
        <w:t>ПОРЯДОК</w:t>
      </w:r>
    </w:p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ОПРЕДЕЛЕНИЯ ОБЪЕМА И ПРЕДОСТАВЛЕНИЯ ИЗ ОБЛАСТНОГО БЮДЖЕТА</w:t>
      </w:r>
    </w:p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ЛЕНИНГРАДСКОЙ ОБЛАСТИ СУБСИДИИ НЕКОММЕРЧЕСКИМ ОРГАНИЗАЦИЯМ,</w:t>
      </w:r>
    </w:p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30F3"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</w:t>
      </w:r>
      <w:proofErr w:type="gramEnd"/>
    </w:p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УЧРЕЖДЕНИЯМИ, НА ФИНАНСОВОЕ ОБЕСПЕЧЕНИЕ ЗАТРАТ В СВЯЗИ</w:t>
      </w:r>
    </w:p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С ОКАЗАНИЕМ УСЛУГ ПО ОРГАНИЗАЦИИ МУЗЫКАЛЬНЫХ, ТЕАТРАЛЬНЫХ</w:t>
      </w:r>
    </w:p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И КИНОФЕСТИВАЛЕЙ, ПРОВОДИМЫХ НА ТЕРРИТОРИИ ЛЕНИНГРАДСКОЙ</w:t>
      </w:r>
    </w:p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ОБЛАСТИ, ОРГАНИЗАЦИЮ МЕРОПРИЯТИЙ ДОБРОВОЛЬЧЕСКИХ ДВИЖЕНИЙ</w:t>
      </w:r>
    </w:p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В СФЕРЕ СОХРАНЕНИЯ ОБЪЕКТОВ КУЛЬТУРНОГО НАСЛЕДИЯ В РАМКАХ</w:t>
      </w:r>
    </w:p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 "РАЗВИТИЕ</w:t>
      </w:r>
    </w:p>
    <w:p w:rsidR="004C3202" w:rsidRPr="009A30F3" w:rsidRDefault="004C3202" w:rsidP="004C3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КУЛЬТУРЫ И ТУРИЗМА В ЛЕНИНГРАДСКОЙ ОБЛАСТИ"</w:t>
      </w:r>
    </w:p>
    <w:p w:rsidR="004C3202" w:rsidRPr="009A30F3" w:rsidRDefault="004C3202" w:rsidP="004C320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3202" w:rsidRPr="009A30F3" w:rsidTr="00391C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3202" w:rsidRPr="009A30F3" w:rsidRDefault="004C3202" w:rsidP="0039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C3202" w:rsidRPr="009A30F3" w:rsidRDefault="004C3202" w:rsidP="0039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0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9A30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A30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Ленинградской области</w:t>
            </w:r>
            <w:proofErr w:type="gramEnd"/>
          </w:p>
          <w:p w:rsidR="004C3202" w:rsidRPr="009A30F3" w:rsidRDefault="004C3202" w:rsidP="0039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06.12.2019 N 577)</w:t>
            </w:r>
          </w:p>
        </w:tc>
      </w:tr>
    </w:tbl>
    <w:p w:rsidR="004C3202" w:rsidRPr="009A30F3" w:rsidRDefault="004C3202" w:rsidP="004C32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определения объема и предоставления из областного бюджета Ленинградской области (далее - областной бюджет) субсидии некоммерческим организациям, не являющимся государственными (муниципальными) учреждениями (далее - некоммерческие организации), на финансовое обеспечение затрат в связи с оказанием услуг по организации музыкальных, театральных и кинофестивалей, проводимых на территории Ленинградской области в рамках подпрограммы "Профессиональное искусство, народное творчество и культурно-досуговая деятельность" государственной программы Ленинградской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области "Развитие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 xml:space="preserve">культуры и туризма в Ленинградской области", включенных в календарный план работы Правительства Ленинградской области в соответствии с </w:t>
      </w:r>
      <w:hyperlink r:id="rId6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29 декабря 2005 года N 341 "О Регламенте Правительства Ленинградской области", а также по организации мероприятий добровольческих движений в сфере сохранения объектов культурного наследия в рамках подпрограммы "Сохранение и охрана культурного и исторического наследия Ленинградской области" государственной программы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Ленинградской области "Развитие культуры и туризма в Ленинградской области" (далее - субсидии).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79"/>
      <w:bookmarkEnd w:id="1"/>
      <w:r w:rsidRPr="009A30F3">
        <w:rPr>
          <w:rFonts w:ascii="Times New Roman" w:hAnsi="Times New Roman" w:cs="Times New Roman"/>
          <w:sz w:val="24"/>
          <w:szCs w:val="24"/>
        </w:rPr>
        <w:t>1.2. Субсидии предоставляются в целях организации мероприятий добровольческих движений в сфере сохранения объектов культурного наследия (далее - мероприятия), а также в целях проведения музыкальных, театральных и кинофестивалей на территории Ленинградской области в рамках федерального проекта "Творческие люди" (далее - фестивали).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1.3. Главным распорядителем средств субсидий является комитет по культуре Ленинградской области (далее - комитет).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1.4. В настоящем Порядке применяются следующие основные понятия: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конкурсный отбор - отбор некоммерческих организаций для предоставления субсидий, осуществляемый экспертным советом в соответствии с настоящим Порядком;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экспертный совет - коллегиальный орган, образованный для проведения конкурсного отбора, формируемый комитетом из числа лиц, замещающих должности государственной гражданской службы в комитете.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lastRenderedPageBreak/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2. Категории и критерии отбора получателей субсидий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88"/>
      <w:bookmarkEnd w:id="2"/>
      <w:r w:rsidRPr="009A30F3">
        <w:rPr>
          <w:rFonts w:ascii="Times New Roman" w:hAnsi="Times New Roman" w:cs="Times New Roman"/>
          <w:sz w:val="24"/>
          <w:szCs w:val="24"/>
        </w:rPr>
        <w:t>2.1. К категории получателей субсидий относятся некоммерческие организации, зарегистрированные в качестве юридического лица в порядке, установленном законодательством Российской Федерации.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2.2. Отбор получателей субсидий проводится в рамках конкурсного отбора исходя из следующих критериев: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90"/>
      <w:bookmarkEnd w:id="3"/>
      <w:r w:rsidRPr="009A30F3">
        <w:rPr>
          <w:rFonts w:ascii="Times New Roman" w:hAnsi="Times New Roman" w:cs="Times New Roman"/>
          <w:sz w:val="24"/>
          <w:szCs w:val="24"/>
        </w:rPr>
        <w:t xml:space="preserve">1) соответствие проекта в сфере оказания услуг по организации фестивалей и мероприятий (далее - проект), на реализацию которого запрашивается субсидия, целям, указанным в </w:t>
      </w:r>
      <w:hyperlink w:anchor="P6779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791"/>
      <w:bookmarkEnd w:id="4"/>
      <w:r w:rsidRPr="009A30F3">
        <w:rPr>
          <w:rFonts w:ascii="Times New Roman" w:hAnsi="Times New Roman" w:cs="Times New Roman"/>
          <w:sz w:val="24"/>
          <w:szCs w:val="24"/>
        </w:rPr>
        <w:t>2) соответствие проекта, на реализацию которого запрашивается субсидия, уставным целям некоммерческой организации;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3) количество реализованных проектов за последние пять лет;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4) количество зрителей и участников, вовлеченных в реализованные проекты, за последние пять лет;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5) размер участия некоммерческой организации в финансировании мероприятия за счет привлеченных внебюджетных средств по отношению к сумме запрашиваемых средств из областного бюджета;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6) наличие наград, премий и благодарностей некоммерческой организации по итогам организованных фестивалей и мероприятий.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3. Условия предоставления субсидий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799"/>
      <w:bookmarkEnd w:id="5"/>
      <w:r w:rsidRPr="009A30F3">
        <w:rPr>
          <w:rFonts w:ascii="Times New Roman" w:hAnsi="Times New Roman" w:cs="Times New Roman"/>
          <w:sz w:val="24"/>
          <w:szCs w:val="24"/>
        </w:rPr>
        <w:t xml:space="preserve">3.1. Условиями предоставления субсидий являются: соответствие получателя субсидии требованиям, предусмотренным </w:t>
      </w:r>
      <w:hyperlink w:anchor="P6801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Порядка; своевременное представление документов, предусмотренных </w:t>
      </w:r>
      <w:hyperlink w:anchor="P6809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пунктом 3.4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Порядка; заключение между получателем субсидии и комитетом соглашения о предоставлении субсидии в соответствии с типовой формой, утвержденной правовым актом Комитета финансов Ленинградской области (далее - соглашение), в срок, установленный </w:t>
      </w:r>
      <w:hyperlink w:anchor="P6873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пунктом 5.1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предусматривающего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в том числе согласие получателя субсидии на осуществление главным распорядителем бюджетных средств и уполномоченным органом государственного финансового контроля Ленинградской области проверок соблюдения условий, целей и порядка предоставления субсидий.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3.2. Субсидия предоставляется на основании правового акта комитета, утверждающего победителя конкурсного отбора и размер предоставляемой ему субсидии, принятого по результатам конкурсного отбора.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801"/>
      <w:bookmarkEnd w:id="6"/>
      <w:r w:rsidRPr="009A30F3">
        <w:rPr>
          <w:rFonts w:ascii="Times New Roman" w:hAnsi="Times New Roman" w:cs="Times New Roman"/>
          <w:sz w:val="24"/>
          <w:szCs w:val="24"/>
        </w:rPr>
        <w:t>3.3. Получатель субсидии на 1-е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у получателя субсидии отсутствует просроченная задолженность по возврату в </w:t>
      </w:r>
      <w:r w:rsidRPr="009A30F3">
        <w:rPr>
          <w:rFonts w:ascii="Times New Roman" w:hAnsi="Times New Roman" w:cs="Times New Roman"/>
          <w:sz w:val="24"/>
          <w:szCs w:val="24"/>
        </w:rPr>
        <w:lastRenderedPageBreak/>
        <w:t xml:space="preserve">областной бюджет субсидий, бюджетных инвестиций,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областным бюджетом;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получатель субсидии не находится в процессе реорганизации или ликвидации; в отношении получателя субсидии не введена процедура банкротства; деятельность получателя субсидии не приостановлена в порядке, предусмотренном законодательством Российской Федерации;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или) не предусматривающих раскрытия и предоставления информации при проведении финансовых операций (офшорные зоны) в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получатель субсидии отсутствует в реестре недобросовестных поставщиков;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получатель субсидии не получает средства из областного бюджета на основании иных нормативных правовых актов на цели, указанные в </w:t>
      </w:r>
      <w:hyperlink w:anchor="P6779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получатель субсидии не имеет задолженности перед работниками по заработной плате.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809"/>
      <w:bookmarkEnd w:id="7"/>
      <w:r w:rsidRPr="009A30F3">
        <w:rPr>
          <w:rFonts w:ascii="Times New Roman" w:hAnsi="Times New Roman" w:cs="Times New Roman"/>
          <w:sz w:val="24"/>
          <w:szCs w:val="24"/>
        </w:rPr>
        <w:t>3.4. В целях получения субсидии некоммерческая организация представляет в комитет заявку на предоставление субсидии (далее - заявка) по форме, утвержденной правовым актом комитета. Заявка подписывается руководителем и главным бухгалтером, заверяется печатью некоммерческой организации.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заявке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в том числе указываются: планируемая программа конкретного фестиваля или мероприятия; планируемая смета конкретного фестиваля или мероприятия; объем привлеченных средств из внебюджетных источников.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(копии заверяются подписью лица, действующего без доверенности от имени некоммерческой организации, и печатью некоммерческой организации):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1) документы, подтверждающие полномочия представителя юридического лица (при подаче заявки представителем юридического лица);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некоммерческой организации;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3) копия свидетельства о постановке некоммерческой организации на налоговый учет;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4) копия устава некоммерческой организации;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5) справка об отсутствии задолженности перед работниками по заработной плате, подписанная руководителем и главным бухгалтером, заверенная печатью (при наличии) некоммерческой организации;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6) копии документов, подтверждающих опыт проведения фестивалей или мероприятий, в том числе грамоты, благодарности, акты приемки оказанных услуг, публикации в средствах массовой информации и т.д. (при наличии).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lastRenderedPageBreak/>
        <w:t>Некоммерческая организация несет ответственность за достоверность представленной информации в соответствии с действующим законодательством Российской Федерации.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3.5. Комитет самостоятельно запрашивает у уполномоченных органов справку об отсутствии неисполненной обязанности по уплате налогов и сборов, страховых взносов, пеней, штрафов, подлежащих уплате в соответствии с законодательством Российской Федерации, по состоянию на 1-е число месяца, в котором установлена дата начала приема заявок.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3.6. Основаниями для отказа в предоставлении субсидии являются: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1) несоответствие получателя субсидии условиям, установленным </w:t>
      </w:r>
      <w:hyperlink w:anchor="P6799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пунктом 3.1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2) несоответствие получателя субсидии требованиям, установленным </w:t>
      </w:r>
      <w:hyperlink w:anchor="P6801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3) несоответствие представленных получателем субсидии документов требованиям, установленным </w:t>
      </w:r>
      <w:hyperlink w:anchor="P6801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Порядка; непредставление (представление не в полном объеме) указанных документов; нарушение срока представления документов, указанного в объявлении о проведении конкурсного отбора согласно </w:t>
      </w:r>
      <w:hyperlink w:anchor="P6830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пункту 4.1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4) недостоверность информации, содержащейся в представленных документах;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5) несоответствие некоммерческой организации категории получателей субсидии, предусмотренной </w:t>
      </w:r>
      <w:hyperlink w:anchor="P6788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Порядка, и критериям отбора получателей субсидии, указанным в </w:t>
      </w:r>
      <w:hyperlink w:anchor="P6790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791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2 пункта 2.2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В случае отказа в предоставлении субсидии комитет уведомляет некоммерческую организацию о принятом решении в письменном виде с указанием причин отказа в срок не позднее 15 рабочих дней со дня окончания приема заявок.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4. Порядок проведения конкурсного отбора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830"/>
      <w:bookmarkEnd w:id="8"/>
      <w:r w:rsidRPr="00713DF9">
        <w:rPr>
          <w:rFonts w:ascii="Times New Roman" w:hAnsi="Times New Roman" w:cs="Times New Roman"/>
          <w:sz w:val="24"/>
          <w:szCs w:val="24"/>
        </w:rPr>
        <w:t xml:space="preserve">4.1. Решение о проведении конкурсного отбора принимается комитетом и утверждается правовым актом комитета. Информация о проведении конкурсного отбора, в том числе наименование фестиваля (фестивалей) </w:t>
      </w:r>
      <w:proofErr w:type="gramStart"/>
      <w:r w:rsidRPr="00713DF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13DF9">
        <w:rPr>
          <w:rFonts w:ascii="Times New Roman" w:hAnsi="Times New Roman" w:cs="Times New Roman"/>
          <w:sz w:val="24"/>
          <w:szCs w:val="24"/>
        </w:rPr>
        <w:t>или) мероприятия (мероприятий), сроки и место проведения, технические требования, сроки приема документов на участие в конкурсном отборе, дата проведения заседания экспертного совета, размещается на официальном сайте комитета в информационно-телекоммуникационной сети "Интернет" (http://culture.lenobl.ru) не позднее чем за семь календарных дней до даты начала подачи заявок. Период подачи заявок должен составлять не менее 20 календарных дней.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4.2. Порядок работы и персональный состав экспертного совета утверждаются нормативным правовым актом комитета.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4.3. Рассмотрение заявок и прилагаемых к ним документов осуществляется членами экспертного совета в два этапа: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F3">
        <w:rPr>
          <w:rFonts w:ascii="Times New Roman" w:hAnsi="Times New Roman" w:cs="Times New Roman"/>
          <w:sz w:val="24"/>
          <w:szCs w:val="24"/>
        </w:rPr>
        <w:t xml:space="preserve">1) на первом этапе конкурсного отбора осуществляется проверка заявок и некоммерческой организации на предмет соответствия требованиям, установленным </w:t>
      </w:r>
      <w:hyperlink w:anchor="P6801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Порядка; наличия документов, указанных в </w:t>
      </w:r>
      <w:hyperlink w:anchor="P6809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 предмет соответствия категории получателей субсидии, указанной в </w:t>
      </w:r>
      <w:hyperlink w:anchor="P6788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Порядка, и критериям отбора получателей субсидии, предусмотренным </w:t>
      </w:r>
      <w:hyperlink w:anchor="P6790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791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2 пункта 2.2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lastRenderedPageBreak/>
        <w:t xml:space="preserve">2) на втором этапе конкурсного отбора осуществляется рассмотрение заявок и прилагаемых к ним документов, прошедших первый этап конкурсного отбора, в соответствии с критериями, указанными в </w:t>
      </w:r>
      <w:hyperlink w:anchor="P6836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пункте 4.4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По итогам второго этапа конкурсного отбора производится подсчет баллов. Участник конкурсного отбора, получивший наибольшее количество баллов, получает более высокий рейтинговый номер (наименьший порядковый номер) и становится победителем конкурсного отбора. В случае присвоения одинакового количества баллов двум и более участникам конкурсного отбора победителем конкурсного отбора признается участник, заявка которого подана раньше.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836"/>
      <w:bookmarkEnd w:id="9"/>
      <w:r w:rsidRPr="009A30F3">
        <w:rPr>
          <w:rFonts w:ascii="Times New Roman" w:hAnsi="Times New Roman" w:cs="Times New Roman"/>
          <w:sz w:val="24"/>
          <w:szCs w:val="24"/>
        </w:rPr>
        <w:t>4.4. Представленные заявки (проекты) оцениваются в баллах по следующим критериям: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572"/>
      </w:tblGrid>
      <w:tr w:rsidR="004C3202" w:rsidRPr="009A30F3" w:rsidTr="00391C7D">
        <w:tc>
          <w:tcPr>
            <w:tcW w:w="510" w:type="dxa"/>
          </w:tcPr>
          <w:p w:rsidR="004C3202" w:rsidRPr="009A30F3" w:rsidRDefault="004C3202" w:rsidP="0039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 w:rsidR="004C3202" w:rsidRPr="009A30F3" w:rsidRDefault="004C3202" w:rsidP="0039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572" w:type="dxa"/>
          </w:tcPr>
          <w:p w:rsidR="004C3202" w:rsidRPr="009A30F3" w:rsidRDefault="004C3202" w:rsidP="0039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C3202" w:rsidRPr="009A30F3" w:rsidTr="00391C7D">
        <w:tc>
          <w:tcPr>
            <w:tcW w:w="510" w:type="dxa"/>
          </w:tcPr>
          <w:p w:rsidR="004C3202" w:rsidRPr="009A30F3" w:rsidRDefault="004C3202" w:rsidP="0039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в сфере оказания услуг по организации фестивалей и мероприятий за последние пять лет</w:t>
            </w:r>
          </w:p>
        </w:tc>
        <w:tc>
          <w:tcPr>
            <w:tcW w:w="3572" w:type="dxa"/>
          </w:tcPr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Отсутствие проектов - 0 баллов;</w:t>
            </w:r>
          </w:p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1-5 проектов - 10 баллов;</w:t>
            </w:r>
          </w:p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более 5 проектов - 20 баллов</w:t>
            </w:r>
          </w:p>
        </w:tc>
      </w:tr>
      <w:tr w:rsidR="004C3202" w:rsidRPr="009A30F3" w:rsidTr="00391C7D">
        <w:tc>
          <w:tcPr>
            <w:tcW w:w="510" w:type="dxa"/>
          </w:tcPr>
          <w:p w:rsidR="004C3202" w:rsidRPr="009A30F3" w:rsidRDefault="004C3202" w:rsidP="0039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Количество зрителей и участников, вовлеченных в реализованные проекты в сфере оказания услуг по организации фестивалей и мероприятий, за последние пять лет</w:t>
            </w:r>
          </w:p>
        </w:tc>
        <w:tc>
          <w:tcPr>
            <w:tcW w:w="3572" w:type="dxa"/>
          </w:tcPr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0 человек - 0 баллов;</w:t>
            </w:r>
          </w:p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1-100 человек - 10 баллов;</w:t>
            </w:r>
          </w:p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101-500 человек - 20 баллов;</w:t>
            </w:r>
          </w:p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501-1000 человек - 30 баллов;</w:t>
            </w:r>
          </w:p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более 1000 человек - 40 баллов</w:t>
            </w:r>
          </w:p>
        </w:tc>
      </w:tr>
      <w:tr w:rsidR="004C3202" w:rsidRPr="009A30F3" w:rsidTr="00391C7D">
        <w:tc>
          <w:tcPr>
            <w:tcW w:w="510" w:type="dxa"/>
          </w:tcPr>
          <w:p w:rsidR="004C3202" w:rsidRPr="009A30F3" w:rsidRDefault="004C3202" w:rsidP="0039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Размер участия некоммерческой организации в финансировании мероприятия за счет привлеченных внебюджетных средств по отношению к сумме запрашиваемых средств из областного бюджета (в проц.)</w:t>
            </w:r>
          </w:p>
        </w:tc>
        <w:tc>
          <w:tcPr>
            <w:tcW w:w="3572" w:type="dxa"/>
          </w:tcPr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Равно или более 20 проц. - 30 баллов;</w:t>
            </w:r>
          </w:p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менее 20 проц. - 0 баллов</w:t>
            </w:r>
          </w:p>
        </w:tc>
      </w:tr>
      <w:tr w:rsidR="004C3202" w:rsidRPr="009A30F3" w:rsidTr="00391C7D">
        <w:tc>
          <w:tcPr>
            <w:tcW w:w="510" w:type="dxa"/>
          </w:tcPr>
          <w:p w:rsidR="004C3202" w:rsidRPr="009A30F3" w:rsidRDefault="004C3202" w:rsidP="0039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Наличие наград, премий и благодарностей некоммерческой организации по итогам организованных фестивалей и мероприятий</w:t>
            </w:r>
          </w:p>
        </w:tc>
        <w:tc>
          <w:tcPr>
            <w:tcW w:w="3572" w:type="dxa"/>
          </w:tcPr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Отсутствие наград - 0 баллов;</w:t>
            </w:r>
          </w:p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1-5 наград - 5 баллов;</w:t>
            </w:r>
          </w:p>
          <w:p w:rsidR="004C3202" w:rsidRPr="009A30F3" w:rsidRDefault="004C3202" w:rsidP="0039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3">
              <w:rPr>
                <w:rFonts w:ascii="Times New Roman" w:hAnsi="Times New Roman" w:cs="Times New Roman"/>
                <w:sz w:val="24"/>
                <w:szCs w:val="24"/>
              </w:rPr>
              <w:t>более 5 наград - 10 баллов</w:t>
            </w:r>
          </w:p>
        </w:tc>
      </w:tr>
    </w:tbl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Под привлеченными средствами в настоящем Порядке понимается вклад некоммерческой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как в денежной, так и в </w:t>
      </w:r>
      <w:proofErr w:type="spellStart"/>
      <w:r w:rsidRPr="009A30F3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9A30F3">
        <w:rPr>
          <w:rFonts w:ascii="Times New Roman" w:hAnsi="Times New Roman" w:cs="Times New Roman"/>
          <w:sz w:val="24"/>
          <w:szCs w:val="24"/>
        </w:rPr>
        <w:t xml:space="preserve"> форме. В </w:t>
      </w:r>
      <w:proofErr w:type="spellStart"/>
      <w:r w:rsidRPr="009A30F3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9A30F3">
        <w:rPr>
          <w:rFonts w:ascii="Times New Roman" w:hAnsi="Times New Roman" w:cs="Times New Roman"/>
          <w:sz w:val="24"/>
          <w:szCs w:val="24"/>
        </w:rPr>
        <w:t xml:space="preserve"> форме в качестве </w:t>
      </w:r>
      <w:proofErr w:type="spellStart"/>
      <w:r w:rsidRPr="009A30F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A30F3">
        <w:rPr>
          <w:rFonts w:ascii="Times New Roman" w:hAnsi="Times New Roman" w:cs="Times New Roman"/>
          <w:sz w:val="24"/>
          <w:szCs w:val="24"/>
        </w:rPr>
        <w:t xml:space="preserve"> могут быть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заявлены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>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безвозмездно полученные услуги (по рыночным ценам);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труд добровольцев (исходя из средней заработной платы в Ленинградской области, деленной на количество рабочих часов в месяце и умноженной на количество часов, в течение которых добровольцы оказывали услуги, и на количество таких добровольцев);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безвозмездно полученные имущественные права (исходя из рыночных цен на аренду соответствующей недвижимости);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используемое оборудование (в размере месячной величины износа, рассчитанного по правилам бухгалтерского учета, умноженной на количество месяцев, когда соответствующее оборудование использовалось в целях реализации фестивалей или мероприятий).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4.5. Результаты рассмотрения экспертным советом заявок и прилагаемых к ним </w:t>
      </w:r>
      <w:r w:rsidRPr="009A30F3">
        <w:rPr>
          <w:rFonts w:ascii="Times New Roman" w:hAnsi="Times New Roman" w:cs="Times New Roman"/>
          <w:sz w:val="24"/>
          <w:szCs w:val="24"/>
        </w:rPr>
        <w:lastRenderedPageBreak/>
        <w:t>документов в течение пяти календарных дней со дня окончания приема заявок оформляются протоколом о результатах проведения конкурсного отбора, в котором указываются некоммерческие организации, подавшие заявки, некоммерческие организации, допущенные к конкурсному отбору, а также победитель конкурсного отбора.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4.6. </w:t>
      </w:r>
      <w:r w:rsidRPr="00713DF9">
        <w:rPr>
          <w:rFonts w:ascii="Times New Roman" w:hAnsi="Times New Roman" w:cs="Times New Roman"/>
          <w:sz w:val="24"/>
          <w:szCs w:val="24"/>
        </w:rPr>
        <w:t>В течение 10 рабочих дней со дня окончания приема заявок комитет издает правовой акт с указанием победителя конкурсного отбора и размера предоставляемой ему субсидии. В течение трех рабочих дней после издания правового акта комитет размещает информацию о результатах конкурсного отбора на официальном сайте комитета в информационно-телекоммуникационной сети "Интернет" и посредством электронной почты уведомляет победителя конкурсного отбора о необходимости заключения соглашения.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5. Порядок предоставления субсидии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873"/>
      <w:bookmarkEnd w:id="10"/>
      <w:r w:rsidRPr="009A30F3">
        <w:rPr>
          <w:rFonts w:ascii="Times New Roman" w:hAnsi="Times New Roman" w:cs="Times New Roman"/>
          <w:sz w:val="24"/>
          <w:szCs w:val="24"/>
        </w:rPr>
        <w:t xml:space="preserve">5.1. </w:t>
      </w:r>
      <w:r w:rsidRPr="00713DF9">
        <w:rPr>
          <w:rFonts w:ascii="Times New Roman" w:hAnsi="Times New Roman" w:cs="Times New Roman"/>
          <w:sz w:val="24"/>
          <w:szCs w:val="24"/>
        </w:rPr>
        <w:t>Соглашение с победителем конкурсного отбора заключается комитетом в течение 10 рабочих дней со дня принятия правового акта комитета, утверждающего победителя конкурсного отбора и размер предоставляемой ему субсидии.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5.2. Размер субсидии (С) определяется по формуле: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С = ЗС - ДС,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где: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ЗС - плановый общий объем затрат в связи с оказанием услуг по организации фестиваля с заявкой получателя субсидии;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ДС - размер привлеченных средств из внебюджетных источников для проведения фестиваля.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Размер субсидии не может превышать размера бюджетных ассигнований, предусмотренных на указанные цели в областном бюджете на текущий финансовый год.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5.3. Перечисление субсидии осуществляется комитетом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5.4. Субсидия перечисляется единовременно в течение 10 рабочих дней со дня заключения соглашения.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885"/>
      <w:bookmarkEnd w:id="11"/>
      <w:r w:rsidRPr="009A30F3">
        <w:rPr>
          <w:rFonts w:ascii="Times New Roman" w:hAnsi="Times New Roman" w:cs="Times New Roman"/>
          <w:sz w:val="24"/>
          <w:szCs w:val="24"/>
        </w:rPr>
        <w:t>5.5. Результатом предоставления субсидии являются проведенные на территории Ленинградской области фестивали или мероприятия.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886"/>
      <w:bookmarkEnd w:id="12"/>
      <w:r w:rsidRPr="009A30F3">
        <w:rPr>
          <w:rFonts w:ascii="Times New Roman" w:hAnsi="Times New Roman" w:cs="Times New Roman"/>
          <w:sz w:val="24"/>
          <w:szCs w:val="24"/>
        </w:rPr>
        <w:t>5.6. Показателями, необходимыми для достижения результатов предоставления субсидии, являются: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1) количество участников фестиваля (фестивалей)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>или) мероприятия (мероприятий);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2) количество зрителей фестиваля (фестивалей)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>или) мероприятия (мероприятий);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3) количество публикаций о проекте в средствах массовой информации и социальных сетях.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5.7. Средства субсидий могут быть использованы на следующие виды расходов: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lastRenderedPageBreak/>
        <w:t>на оплату труда персонала, привлекаемого для организации фестиваля или мероприятия;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на оплату услуг (работ) организаций, индивидуальных исполнителей - физических лиц, привлекаемых для организации фестиваля или мероприятия;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на оплату аренды помещения, сценического оборудования;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на обеспечение доставки имущества коллективов, артистов, музыкантов;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на оплату налогов и иных сборов, установленных законодательством Российской Федерации;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на приобретение расходных материалов, иных товаров, работ, услуг, необходимых для проведения фестиваля или мероприятия;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на проезд, проживание, питание участников фестиваля или мероприятия.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5.8. Получатель субсидии обязуется обеспечить возврат неиспользованных средств субсидии в областной бюджет.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6. Требования к отчетности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6.1. Получатель субсидии ежеквартально не позднее 5-го числа месяца, следующего за отчетным периодом, представляет в комитет </w:t>
      </w:r>
      <w:hyperlink w:anchor="P6927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о достижении результата предоставления субсидии и показателей, необходимых для достижения результатов предоставления субсидии, установленных </w:t>
      </w:r>
      <w:hyperlink w:anchor="P6885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пунктами 5.5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886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5.6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Порядка, по форме согласно приложению к настоящему Порядку.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6.2. Комитет вправе устанавливать в соглашении сроки и формы представления получателем субсидии дополнительной отчетности.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6.3. Контроль за соблюдением получателями субсидий условий, целей и порядка предоставления субсидии, установленных настоящим Порядком и соглашением, осуществляется комитетом и органом государственного финансового контроля Ленинградской области путем проведения плановых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>или) внеплановых проверок, в том числе выездных.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9A30F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A30F3">
        <w:rPr>
          <w:rFonts w:ascii="Times New Roman" w:hAnsi="Times New Roman" w:cs="Times New Roman"/>
          <w:sz w:val="24"/>
          <w:szCs w:val="24"/>
        </w:rPr>
        <w:t xml:space="preserve"> получателем субсидии результата предоставления субсидии и показателей, необходимых для достижения результатов предоставления субсидии, установленных </w:t>
      </w:r>
      <w:hyperlink w:anchor="P6885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пунктами 5.5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886" w:history="1">
        <w:r w:rsidRPr="009A30F3">
          <w:rPr>
            <w:rFonts w:ascii="Times New Roman" w:hAnsi="Times New Roman" w:cs="Times New Roman"/>
            <w:color w:val="0000FF"/>
            <w:sz w:val="24"/>
            <w:szCs w:val="24"/>
          </w:rPr>
          <w:t>5.6</w:t>
        </w:r>
      </w:hyperlink>
      <w:r w:rsidRPr="009A30F3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установления по итогам проверок, проведенных комитетом или органом государственного финансового контроля Ленинградской области, факта нарушения условий, целей и порядка предоставления субсидии, установленных настоящим Порядком и соглашением, возврат субсидии в областной бюджет производится в добровольном порядке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в течение одного месяца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письменного требования комитета или уполномоченного органа государственного финансового контроля Ленинградской области. Датой получения письменного требования считается дата получения уведомления почтой либо дата вручения уведомления лично. Объем средств, подлежащий возврату в областной бюджет, определяется по формуле: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30F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= С x (1 - T / S) x 0,1,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где: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F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- объем средств, подлежащих возврату в областной бюджет;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lastRenderedPageBreak/>
        <w:t>С - объем фактически предоставленной субсидии в отчетном году;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T - фактически достигнутое значение показателя, необходимого для достижения результатов предоставления субсидии, на отчетную дату;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S - плановое значение показателя, необходимого для достижения результатов предоставления субсидии, установленное соглашением.</w:t>
      </w:r>
    </w:p>
    <w:p w:rsidR="004C3202" w:rsidRPr="009A30F3" w:rsidRDefault="004C3202" w:rsidP="004C32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202" w:rsidRPr="009A30F3" w:rsidRDefault="004C3202" w:rsidP="004C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 xml:space="preserve">6.5. В случае </w:t>
      </w:r>
      <w:proofErr w:type="spellStart"/>
      <w:r w:rsidRPr="009A30F3">
        <w:rPr>
          <w:rFonts w:ascii="Times New Roman" w:hAnsi="Times New Roman" w:cs="Times New Roman"/>
          <w:sz w:val="24"/>
          <w:szCs w:val="24"/>
        </w:rPr>
        <w:t>неперечисления</w:t>
      </w:r>
      <w:proofErr w:type="spellEnd"/>
      <w:r w:rsidRPr="009A30F3">
        <w:rPr>
          <w:rFonts w:ascii="Times New Roman" w:hAnsi="Times New Roman" w:cs="Times New Roman"/>
          <w:sz w:val="24"/>
          <w:szCs w:val="24"/>
        </w:rPr>
        <w:t xml:space="preserve"> получателем субсидии средств субсидии в областной бюджет в течение одного месяца </w:t>
      </w:r>
      <w:proofErr w:type="gramStart"/>
      <w:r w:rsidRPr="009A30F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A30F3">
        <w:rPr>
          <w:rFonts w:ascii="Times New Roman" w:hAnsi="Times New Roman" w:cs="Times New Roman"/>
          <w:sz w:val="24"/>
          <w:szCs w:val="24"/>
        </w:rPr>
        <w:t xml:space="preserve"> письменного требования комитета или уполномоченного органа государственного финансового контроля Ленинградской области взыскание субсидии осуществляется в соответствии с законодательством Российской Федерации.</w:t>
      </w:r>
    </w:p>
    <w:p w:rsidR="004C3202" w:rsidRPr="009A30F3" w:rsidRDefault="004C3202" w:rsidP="004C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F3">
        <w:rPr>
          <w:rFonts w:ascii="Times New Roman" w:hAnsi="Times New Roman" w:cs="Times New Roman"/>
          <w:sz w:val="24"/>
          <w:szCs w:val="24"/>
        </w:rPr>
        <w:t>6.6. В случае нарушения срока добровольного возврата субсидии получатель субсидии уплачивает штраф в размере 0,1 процента от суммы субсидии, подлежащей возврату, за каждый день просрочки.</w:t>
      </w:r>
    </w:p>
    <w:p w:rsidR="004C3202" w:rsidRPr="009A30F3" w:rsidRDefault="004C3202" w:rsidP="004C3202">
      <w:pPr>
        <w:rPr>
          <w:rFonts w:ascii="Times New Roman" w:hAnsi="Times New Roman" w:cs="Times New Roman"/>
          <w:sz w:val="24"/>
          <w:szCs w:val="24"/>
        </w:rPr>
      </w:pPr>
    </w:p>
    <w:p w:rsidR="006A30DA" w:rsidRDefault="00917CB0"/>
    <w:sectPr w:rsidR="006A30DA" w:rsidSect="00C8615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02"/>
    <w:rsid w:val="00380F31"/>
    <w:rsid w:val="004C3202"/>
    <w:rsid w:val="00707E6C"/>
    <w:rsid w:val="00713DF9"/>
    <w:rsid w:val="0091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3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3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11C1999BC9C9605222C6DBF1C63B98A9434E59905DC4615CE2D01931D21562A02F3CA2C52845D9D48F56BC40xCgAK" TargetMode="External"/><Relationship Id="rId5" Type="http://schemas.openxmlformats.org/officeDocument/2006/relationships/hyperlink" Target="consultantplus://offline/ref=CE11C1999BC9C9605222C6DBF1C63B98A9404B59965BC4615CE2D01931D21562B22F64AEC42D5BD8D79A00ED069F64B8C2FB750C98E69CF7x6g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Стром</dc:creator>
  <cp:lastModifiedBy>Цурбан</cp:lastModifiedBy>
  <cp:revision>2</cp:revision>
  <dcterms:created xsi:type="dcterms:W3CDTF">2020-07-30T12:22:00Z</dcterms:created>
  <dcterms:modified xsi:type="dcterms:W3CDTF">2020-07-30T12:22:00Z</dcterms:modified>
</cp:coreProperties>
</file>