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30"/>
          <w:sz w:val="26"/>
          <w:szCs w:val="26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1025" cy="72390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5pt;height:57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pacing w:val="30"/>
          <w:sz w:val="26"/>
          <w:szCs w:val="26"/>
        </w:rPr>
      </w:pPr>
      <w:r>
        <w:rPr>
          <w:rFonts w:ascii="Times New Roman" w:hAnsi="Times New Roman" w:cs="Times New Roman"/>
          <w:spacing w:val="30"/>
          <w:sz w:val="26"/>
          <w:szCs w:val="26"/>
        </w:rPr>
        <w:t xml:space="preserve">АДМИНИСТРАЦИЯ ЛЕНИНГРАДСКОЙ ОБЛАСТИ</w:t>
      </w:r>
      <w:r>
        <w:rPr>
          <w:rFonts w:ascii="Times New Roman" w:hAnsi="Times New Roman" w:cs="Times New Roman"/>
          <w:spacing w:val="30"/>
          <w:sz w:val="26"/>
          <w:szCs w:val="26"/>
        </w:rPr>
      </w:r>
      <w:r>
        <w:rPr>
          <w:rFonts w:ascii="Times New Roman" w:hAnsi="Times New Roman" w:cs="Times New Roman"/>
          <w:spacing w:val="30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 w:cs="Times New Roman"/>
          <w:b/>
          <w:spacing w:val="30"/>
          <w:sz w:val="26"/>
          <w:szCs w:val="26"/>
        </w:rPr>
      </w:pP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КОМИТЕТ </w:t>
      </w:r>
      <w:r>
        <w:rPr>
          <w:rFonts w:ascii="Times New Roman" w:hAnsi="Times New Roman" w:cs="Times New Roman"/>
          <w:b/>
          <w:spacing w:val="30"/>
          <w:sz w:val="26"/>
          <w:szCs w:val="26"/>
        </w:rPr>
        <w:t xml:space="preserve">ПО СОХРАНЕНИЮ КУЛЬТУРНОГО НАСЛЕДИЯ ЛЕНИНГРАДСКОЙ ОБЛАСТИ</w:t>
      </w:r>
      <w:r>
        <w:rPr>
          <w:rFonts w:ascii="Times New Roman" w:hAnsi="Times New Roman" w:cs="Times New Roman"/>
          <w:b/>
          <w:spacing w:val="30"/>
          <w:sz w:val="26"/>
          <w:szCs w:val="26"/>
        </w:rPr>
      </w:r>
      <w:r>
        <w:rPr>
          <w:rFonts w:ascii="Times New Roman" w:hAnsi="Times New Roman" w:cs="Times New Roman"/>
          <w:b/>
          <w:spacing w:val="30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z w:val="26"/>
          <w:szCs w:val="26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</w:t>
      </w:r>
      <w:r>
        <w:rPr>
          <w:rFonts w:ascii="Times New Roman" w:hAnsi="Times New Roman" w:cs="Times New Roman"/>
          <w:sz w:val="26"/>
          <w:szCs w:val="26"/>
        </w:rPr>
        <w:t xml:space="preserve">»____________202</w:t>
      </w: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№__________________</w:t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/>
        <w:widowControl w:val="off"/>
        <w:tabs>
          <w:tab w:val="right" w:pos="9356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г. Санкт-Петербург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14:ligatures w14:val="none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предоставления на </w:t>
      </w:r>
      <w:r>
        <w:rPr>
          <w:rFonts w:ascii="Times New Roman" w:hAnsi="Times New Roman" w:cs="Times New Roman"/>
          <w:b/>
          <w:sz w:val="26"/>
          <w:szCs w:val="26"/>
        </w:rPr>
        <w:t xml:space="preserve">территории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Ленинградской области государственной услуг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»</w:t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  <w:r>
        <w:rPr>
          <w:rFonts w:ascii="Times New Roman" w:hAnsi="Times New Roman" w:cs="Times New Roman"/>
          <w:b/>
          <w:bCs/>
          <w:sz w:val="26"/>
          <w:szCs w:val="26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outlineLvl w:val="0"/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2" w:tooltip="consultantplus://offline/ref=7B48B011DDA30CF4E10CFE9026712B36B43DD4A0820B9C5874182EC44D5BA4BED47625FF13E4C7A38D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законом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210-ФЗ «Об  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м</w:t>
      </w:r>
      <w:r>
        <w:rPr>
          <w:rFonts w:ascii="Times New Roman" w:hAnsi="Times New Roman" w:cs="Times New Roman"/>
          <w:sz w:val="26"/>
          <w:szCs w:val="26"/>
        </w:rPr>
        <w:t xml:space="preserve"> Правительства РФ от 20.07.2021 </w:t>
      </w:r>
      <w:r>
        <w:rPr>
          <w:rFonts w:ascii="Times New Roman" w:hAnsi="Times New Roman" w:cs="Times New Roman"/>
          <w:sz w:val="26"/>
          <w:szCs w:val="26"/>
        </w:rPr>
        <w:t xml:space="preserve">№</w:t>
      </w:r>
      <w:r>
        <w:rPr>
          <w:rFonts w:ascii="Times New Roman" w:hAnsi="Times New Roman" w:cs="Times New Roman"/>
          <w:sz w:val="26"/>
          <w:szCs w:val="26"/>
        </w:rPr>
        <w:t xml:space="preserve"> 1228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Правил разработки и утв</w:t>
      </w:r>
      <w:r>
        <w:rPr>
          <w:rFonts w:ascii="Times New Roman" w:hAnsi="Times New Roman" w:cs="Times New Roman"/>
          <w:sz w:val="26"/>
          <w:szCs w:val="26"/>
        </w:rPr>
        <w:t xml:space="preserve">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» приказываю: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Утвердить Административный </w:t>
      </w:r>
      <w:hyperlink r:id="rId13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6"/>
            <w:szCs w:val="26"/>
          </w:rPr>
          <w:t xml:space="preserve">регламент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предоставления на территории Ленинградской области государственной услуги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приказу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Приказ комитета по </w:t>
      </w:r>
      <w:r>
        <w:rPr>
          <w:rFonts w:ascii="Times New Roman" w:hAnsi="Times New Roman" w:cs="Times New Roman"/>
          <w:sz w:val="26"/>
          <w:szCs w:val="26"/>
        </w:rPr>
        <w:t xml:space="preserve">сохранению культурного наследия</w:t>
      </w:r>
      <w:r>
        <w:rPr>
          <w:rFonts w:ascii="Times New Roman" w:hAnsi="Times New Roman" w:cs="Times New Roman"/>
          <w:sz w:val="26"/>
          <w:szCs w:val="26"/>
        </w:rPr>
        <w:t xml:space="preserve"> Ленинградской области от </w:t>
      </w:r>
      <w:r>
        <w:rPr>
          <w:rFonts w:ascii="Times New Roman" w:hAnsi="Times New Roman" w:cs="Times New Roman"/>
          <w:sz w:val="26"/>
          <w:szCs w:val="26"/>
        </w:rPr>
        <w:t xml:space="preserve">19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05</w:t>
      </w:r>
      <w:r>
        <w:rPr>
          <w:rFonts w:ascii="Times New Roman" w:hAnsi="Times New Roman" w:cs="Times New Roman"/>
          <w:sz w:val="26"/>
          <w:szCs w:val="26"/>
        </w:rPr>
        <w:t xml:space="preserve">.202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  № 01-03/2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88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Об </w:t>
      </w:r>
      <w:r>
        <w:rPr>
          <w:rFonts w:ascii="Times New Roman" w:hAnsi="Times New Roman" w:cs="Times New Roman"/>
          <w:sz w:val="26"/>
          <w:szCs w:val="26"/>
        </w:rPr>
        <w:t xml:space="preserve">утверждении административного регламента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предоставления на территории Ленинградской области государственной услуги </w:t>
      </w:r>
      <w:r>
        <w:rPr>
          <w:rFonts w:ascii="Times New Roman" w:hAnsi="Times New Roman" w:cs="Times New Roman"/>
          <w:sz w:val="26"/>
          <w:szCs w:val="26"/>
        </w:rPr>
        <w:t xml:space="preserve">«</w:t>
      </w:r>
      <w:r>
        <w:rPr>
          <w:rFonts w:ascii="Times New Roman" w:hAnsi="Times New Roman" w:cs="Times New Roman"/>
          <w:sz w:val="26"/>
          <w:szCs w:val="26"/>
        </w:rPr>
        <w:t xml:space="preserve">Выдача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признать утратившим силу.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Контроль за</w:t>
      </w:r>
      <w:r>
        <w:rPr>
          <w:rFonts w:ascii="Times New Roman" w:hAnsi="Times New Roman" w:cs="Times New Roman"/>
          <w:sz w:val="26"/>
          <w:szCs w:val="26"/>
        </w:rPr>
        <w:t xml:space="preserve"> исполне</w:t>
      </w:r>
      <w:r>
        <w:rPr>
          <w:rFonts w:ascii="Times New Roman" w:hAnsi="Times New Roman" w:cs="Times New Roman"/>
          <w:sz w:val="26"/>
          <w:szCs w:val="26"/>
        </w:rPr>
        <w:t xml:space="preserve">нием настоящего приказа возложить на заместителя предсе</w:t>
      </w:r>
      <w:r>
        <w:rPr>
          <w:rFonts w:ascii="Times New Roman" w:hAnsi="Times New Roman" w:cs="Times New Roman"/>
          <w:sz w:val="26"/>
          <w:szCs w:val="26"/>
        </w:rPr>
        <w:t xml:space="preserve">дателя комитета по сохранению культурного наследия Ленинградской области, уполномоченного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Вице-губернатор Ленинградской области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развития и сохранения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культурного наследия </w:t>
      </w:r>
      <w:r>
        <w:rPr>
          <w:rFonts w:ascii="Times New Roman" w:hAnsi="Times New Roman" w:cs="Times New Roman"/>
          <w:sz w:val="26"/>
          <w:szCs w:val="26"/>
        </w:rPr>
        <w:t xml:space="preserve"> - председатель комитета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сохранению культурного наследия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</w:t>
        <w:tab/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В.О. Цой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от___________________№________________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left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Выдача заключения на акт государственной историко-культурной экспертизы земельного участка, подлежащего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хозяйственному освоению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имени физических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законные представители (родители, усыновители, опекуны, попечители) несовершеннолетних (в случае, если собственником объекта является несовершеннолетнее лицо);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</w:t>
      </w:r>
      <w:r>
        <w:rPr>
          <w:rFonts w:ascii="Times New Roman" w:hAnsi="Times New Roman" w:cs="Times New Roman"/>
          <w:sz w:val="28"/>
          <w:szCs w:val="28"/>
        </w:rPr>
        <w:t xml:space="preserve">е в силу полномочий,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 на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лица, действующие в соответствии с законом или учредительными документами от имени юридического лица без доверенности;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представители, действующие в силу полномочий, 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Выдача заключения 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заключение на акт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историко-культурной экспертизы земельного участка, подлежащего хо</w:t>
      </w:r>
      <w:r>
        <w:rPr>
          <w:rFonts w:ascii="Times New Roman" w:hAnsi="Times New Roman" w:cs="Times New Roman"/>
          <w:sz w:val="28"/>
          <w:szCs w:val="28"/>
        </w:rPr>
        <w:t xml:space="preserve">зяйственному освоению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указанием сведений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согласии </w:t>
      </w:r>
      <w:r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 xml:space="preserve">несогласии </w:t>
      </w:r>
      <w:r>
        <w:rPr>
          <w:rFonts w:ascii="Times New Roman" w:hAnsi="Times New Roman" w:cs="Times New Roman"/>
          <w:sz w:val="28"/>
          <w:szCs w:val="28"/>
        </w:rPr>
        <w:t xml:space="preserve">с </w:t>
      </w:r>
      <w:r>
        <w:rPr>
          <w:rFonts w:ascii="Times New Roman" w:hAnsi="Times New Roman" w:cs="Times New Roman"/>
          <w:sz w:val="28"/>
          <w:szCs w:val="28"/>
        </w:rPr>
        <w:t xml:space="preserve">заключением </w:t>
      </w:r>
      <w:r>
        <w:rPr>
          <w:rFonts w:ascii="Times New Roman" w:hAnsi="Times New Roman" w:cs="Times New Roman"/>
          <w:sz w:val="28"/>
          <w:szCs w:val="28"/>
        </w:rPr>
        <w:t xml:space="preserve">экспертизы.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</w:t>
      </w:r>
      <w:r>
        <w:rPr>
          <w:rFonts w:ascii="Times New Roman" w:hAnsi="Times New Roman" w:cs="Times New Roman"/>
          <w:sz w:val="28"/>
          <w:szCs w:val="28"/>
        </w:rPr>
        <w:t xml:space="preserve">тата предоставления государственной услуги н</w:t>
      </w:r>
      <w:r>
        <w:rPr>
          <w:rFonts w:ascii="Times New Roman" w:hAnsi="Times New Roman" w:cs="Times New Roman"/>
          <w:sz w:val="28"/>
          <w:szCs w:val="28"/>
        </w:rPr>
        <w:t xml:space="preserve">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может быть получен </w:t>
      </w:r>
      <w:r>
        <w:rPr>
          <w:rFonts w:ascii="Times New Roman" w:hAnsi="Times New Roman" w:cs="Times New Roman"/>
          <w:sz w:val="28"/>
          <w:szCs w:val="28"/>
        </w:rPr>
        <w:t xml:space="preserve">в 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со способом, указанным заявителем при подаче заявления и документов: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1) при личной явке: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Комитете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в МФЦ;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 без личной явки: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</w:t>
      </w:r>
      <w:r>
        <w:rPr>
          <w:rFonts w:ascii="Times New Roman" w:hAnsi="Times New Roman" w:cs="Times New Roman"/>
          <w:sz w:val="28"/>
          <w:szCs w:val="28"/>
        </w:rPr>
        <w:t xml:space="preserve"> ЛО/</w:t>
      </w:r>
      <w:r>
        <w:rPr>
          <w:rFonts w:ascii="Times New Roman" w:hAnsi="Times New Roman" w:cs="Times New Roman"/>
          <w:sz w:val="28"/>
          <w:szCs w:val="28"/>
        </w:rPr>
        <w:t xml:space="preserve"> ЕПГУ.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</w:t>
      </w:r>
      <w:r>
        <w:rPr>
          <w:rFonts w:ascii="Times New Roman" w:hAnsi="Times New Roman" w:cs="Times New Roman"/>
          <w:sz w:val="28"/>
          <w:szCs w:val="28"/>
        </w:rPr>
        <w:t xml:space="preserve">рок предоставления государственной услуги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</w:t>
      </w:r>
      <w:r>
        <w:rPr>
          <w:rFonts w:ascii="Times New Roman" w:hAnsi="Times New Roman" w:cs="Times New Roman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в Комитете заявления и документов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– в день поступления заявления;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явления через МФЦ в Комитет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</w:t>
      </w:r>
      <w:r>
        <w:rPr>
          <w:rFonts w:ascii="Times New Roman" w:hAnsi="Times New Roman" w:cs="Times New Roman"/>
          <w:sz w:val="28"/>
          <w:szCs w:val="28"/>
        </w:rPr>
        <w:t xml:space="preserve">та посредством ЕПГУ или ПГУ ЛО </w:t>
      </w:r>
      <w:r>
        <w:rPr>
          <w:rFonts w:ascii="Times New Roman" w:hAnsi="Times New Roman" w:cs="Times New Roman"/>
          <w:sz w:val="28"/>
          <w:szCs w:val="28"/>
        </w:rPr>
        <w:t xml:space="preserve">– в день поступления заявления на ЕПГУ или ПГУ ЛО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 в Комитет </w:t>
      </w:r>
      <w:r>
        <w:rPr>
          <w:rFonts w:ascii="Times New Roman" w:hAnsi="Times New Roman" w:cs="Times New Roman"/>
          <w:sz w:val="28"/>
          <w:szCs w:val="28"/>
        </w:rPr>
        <w:t xml:space="preserve">– в течение трех рабочих дней с момента поступления заявления.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</w:t>
      </w:r>
      <w:r>
        <w:rPr>
          <w:rFonts w:ascii="Times New Roman" w:hAnsi="Times New Roman" w:cs="Times New Roman"/>
          <w:sz w:val="28"/>
          <w:szCs w:val="28"/>
        </w:rPr>
        <w:t xml:space="preserve">яется государственная услуга, в </w:t>
      </w:r>
      <w:r>
        <w:rPr>
          <w:rFonts w:ascii="Times New Roman" w:hAnsi="Times New Roman" w:cs="Times New Roman"/>
          <w:sz w:val="28"/>
          <w:szCs w:val="28"/>
        </w:rPr>
        <w:t xml:space="preserve">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4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5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27.07.2010 № 210-ФЗ 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взаимодейств</w:t>
      </w:r>
      <w:r>
        <w:rPr>
          <w:rFonts w:ascii="Times New Roman" w:hAnsi="Times New Roman" w:cs="Times New Roman"/>
          <w:sz w:val="28"/>
          <w:szCs w:val="28"/>
        </w:rPr>
        <w:t xml:space="preserve">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6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7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на предоставление государственной услуги заполнено некорректно.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Заявление подано лицом, не уполномоченным на осуществление таких действий.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Заявление с комплектом документов подписан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недейс</w:t>
      </w:r>
      <w:r>
        <w:rPr>
          <w:rFonts w:ascii="Times New Roman" w:hAnsi="Times New Roman" w:cs="Times New Roman"/>
          <w:sz w:val="28"/>
          <w:szCs w:val="28"/>
        </w:rPr>
        <w:t xml:space="preserve">твительной электронной подписью.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 Заявление подано с неполным комплектом необходимых документов.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5)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6)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редставленные документы имеют подчистки и исправления текста, не заверенные в порядке, установленном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7) Д</w:t>
      </w:r>
      <w:r>
        <w:rPr>
          <w:rFonts w:ascii="Times New Roman" w:hAnsi="Times New Roman" w:cs="Times New Roman"/>
          <w:sz w:val="28"/>
          <w:szCs w:val="28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(муниципальной) услуги.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8) П</w:t>
      </w:r>
      <w:r>
        <w:rPr>
          <w:rFonts w:ascii="Times New Roman" w:hAnsi="Times New Roman" w:cs="Times New Roman"/>
          <w:sz w:val="28"/>
          <w:szCs w:val="28"/>
        </w:rPr>
        <w:t xml:space="preserve">одача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(муниципальной) услуги и документов, необходимых для предоставления услуги, в электронной форме с нарушением установленных требований.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9)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редоставленные электронные образы документов не позволяют в полном объеме прочитать текст документа и (или) распознать реквизиты документа.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10) Н</w:t>
      </w:r>
      <w:r>
        <w:rPr>
          <w:rFonts w:ascii="Times New Roman" w:hAnsi="Times New Roman" w:cs="Times New Roman"/>
          <w:sz w:val="28"/>
          <w:szCs w:val="28"/>
        </w:rPr>
        <w:t xml:space="preserve">есоблюдение установленных статьей 11 Федерального закона от 06.04.2011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 Заявление на получение услуги оформлено не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регламентом.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 Представленные заявителем документы не отвечают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настоящим</w:t>
      </w:r>
      <w:r>
        <w:rPr>
          <w:rFonts w:ascii="Times New Roman" w:hAnsi="Times New Roman" w:cs="Times New Roman"/>
          <w:sz w:val="28"/>
          <w:szCs w:val="28"/>
        </w:rPr>
        <w:t xml:space="preserve"> регламентом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заявителем документы недействительны/указанные в </w:t>
      </w:r>
      <w:r>
        <w:rPr>
          <w:rFonts w:ascii="Times New Roman" w:hAnsi="Times New Roman" w:cs="Times New Roman"/>
          <w:sz w:val="28"/>
          <w:szCs w:val="28"/>
        </w:rPr>
        <w:t xml:space="preserve">заявлении сведения недостоверны.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708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8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</w:t>
      </w:r>
      <w:r>
        <w:rPr>
          <w:rFonts w:ascii="Times New Roman" w:hAnsi="Times New Roman" w:cs="Times New Roman"/>
          <w:sz w:val="28"/>
          <w:szCs w:val="28"/>
        </w:rPr>
        <w:t xml:space="preserve">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22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4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</w:t>
      </w:r>
      <w:r>
        <w:rPr>
          <w:rFonts w:ascii="Times New Roman" w:hAnsi="Times New Roman" w:cs="Times New Roman"/>
          <w:sz w:val="28"/>
          <w:szCs w:val="28"/>
        </w:rPr>
        <w:t xml:space="preserve">ыбору заявителя.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и(или) информации, необходимых для предоставления государственной услуги, составляет: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</w:t>
      </w:r>
      <w:r>
        <w:rPr>
          <w:rFonts w:ascii="Times New Roman" w:hAnsi="Times New Roman" w:cs="Times New Roman"/>
          <w:sz w:val="28"/>
          <w:szCs w:val="28"/>
        </w:rPr>
        <w:t xml:space="preserve">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из многофункционального центра в уполномоченный орган на бумажном носителе - в день передачи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0"/>
        <w:jc w:val="lef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 </w:t>
      </w:r>
      <w:r>
        <w:rPr>
          <w:rFonts w:ascii="Times New Roman" w:hAnsi="Times New Roman" w:cs="Times New Roman"/>
          <w:sz w:val="28"/>
          <w:szCs w:val="28"/>
        </w:rPr>
        <w:t xml:space="preserve">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1</w:t>
      </w:r>
      <w:r>
        <w:rPr>
          <w:rFonts w:ascii="Times New Roman" w:hAnsi="Times New Roman" w:cs="Times New Roman"/>
          <w:sz w:val="28"/>
          <w:szCs w:val="28"/>
        </w:rPr>
        <w:t xml:space="preserve"> рабочий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день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предоставляется заявителю независимо от его места нахождения и не зависит от выбора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изменении статуса рассмотрения запроса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ab/>
        <w:t xml:space="preserve">г) посредством почтовой связи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</w:t>
      </w:r>
      <w:r>
        <w:rPr>
          <w:rFonts w:ascii="Times New Roman" w:hAnsi="Times New Roman" w:cs="Times New Roman"/>
          <w:sz w:val="28"/>
          <w:szCs w:val="28"/>
        </w:rPr>
        <w:t xml:space="preserve">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работ, указанных в пунктах 3, 4 и 7 части 1 статьи 25 Лесного кодекса Российской Федерации) и иных работ»</w:t>
      </w:r>
      <w:r>
        <w:rPr>
          <w:rFonts w:ascii="Times New Roman" w:hAnsi="Times New Roman" w:cs="Times New Roman"/>
          <w:color w:val="0070c0"/>
          <w:sz w:val="28"/>
          <w:szCs w:val="28"/>
        </w:rPr>
      </w:r>
      <w:r>
        <w:rPr>
          <w:rFonts w:ascii="Times New Roman" w:hAnsi="Times New Roman" w:cs="Times New Roman"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3467"/>
        <w:gridCol w:w="6379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vMerge w:val="continue"/>
            <w:textDirection w:val="lrTb"/>
            <w:noWrap w:val="false"/>
          </w:tcPr>
          <w:p>
            <w:pPr>
              <w:pStyle w:val="88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Результатом предоставления государственной услуги является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заключение на 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историко-культурной экспертизы земельного участка, подлежащего 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зяйственному освоению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несогласии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467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6379" w:type="dxa"/>
            <w:vAlign w:val="center"/>
            <w:textDirection w:val="lrTb"/>
            <w:noWrap w:val="false"/>
          </w:tcPr>
          <w:p>
            <w:pPr>
              <w:pStyle w:val="88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87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029"/>
        <w:gridCol w:w="4535"/>
        <w:gridCol w:w="1984"/>
        <w:gridCol w:w="1561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84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личность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жительство и удостоверение беженца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заявление (выписка из приказа о назначении на должность либо доверенность на право подписи)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личность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один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оформленных в соответствии с действующим законодательством, подтверждающих наличие у представителя права действовать от лица заявителя, и определяющих условия и границы реализации права представителя на получение государственной услуги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0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r/>
            <w:r/>
          </w:p>
        </w:tc>
        <w:tc>
          <w:tcPr>
            <w:tcW w:w="453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историко-культурной экспертизы земельного участка, подлежащего хозяйстве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нному освоению, оформленный в соответствии с требованиями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постановления Правительства Российской Федерации от 25 апреля 2024 года № 530 «Об утверждении Положения о государственной историко-культурной экспертизе» (далее – Положение),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приложением следующих документов и материалов: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а) перечень документов, представленных заказчиком или полученных экспертом самостоятельно (при значительном количестве документов их перечень приводится в приложении с соответствующим примечанием в тексте заключения);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б) перечень документов и материалов, полученных и собранных при проведении экспертизы, а также использованной для нее специальной, технической и справочной литературы (при значительном количестве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документов и литературы их перечень приводится в приложении с соответствующим примечанием в тексте заключения);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в) перечень приложений к заключению экспертизы, обосновывающих вывод эксперта или экспертной комиссии и подлежащих размещению на официальном сайте Комитете в информаци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онно-телекоммуникационной сети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887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8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1) Заявление на предоставление государственной услуги заполнено некорректно.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Заявление подано лицом, не уполномоченным на осуществление таких действий.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Заявление с комплектом документов подписан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недейс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твительной электронной подписью.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4) Заявление подано с неполным комплектом необходимых документов.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5)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6)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редставленные документы имеют подчистки и исправления текста, не заверенные в порядке, установленном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7) 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(муниципальной) услуги.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8)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одача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 предоставлении государственной (муниципальной) услуги и документов, необходимых для предоставления услуги, в электронной форме с нарушением установленных требований.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9)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редоставленные электронные образы документов не позволяют в полном объеме прочитать текст документа и (или) распознать реквизиты документа.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10) 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есоблюдение установленных статьей 11 Федерального закона от 06.04.2011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63-ФЗ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 электронной подписи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условий признания действительности усиленной квалифицированной электронной подписи.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pStyle w:val="8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 Заявление на получение услуги оформлено не в соответствии с настоящим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регламентом.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 Представленные заявителем документы не отвечают требованиям, установленным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настоящим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регламентом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Представленные заявителем документы недействительны/указанные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заявлении сведения недостоверны.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88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ectPr>
          <w:footnotePr/>
          <w:endnotePr/>
          <w:type w:val="nextPage"/>
          <w:pgSz w:w="12240" w:h="15840" w:orient="portrait"/>
          <w:pgMar w:top="709" w:right="567" w:bottom="709" w:left="1134" w:header="709" w:footer="709" w:gutter="0"/>
          <w:cols w:num="1" w:sep="0" w:space="720" w:equalWidth="1"/>
          <w:docGrid w:linePitch="360"/>
        </w:sectPr>
      </w:pPr>
      <w:r>
        <w:br w:type="page" w:clear="all"/>
      </w:r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 согласии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результатами экспертизы)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4"/>
        <w:gridCol w:w="5101"/>
      </w:tblGrid>
      <w:tr>
        <w:tblPrEx/>
        <w:trPr/>
        <w:tc>
          <w:tcPr>
            <w:tcW w:w="5104" w:type="dxa"/>
            <w:textDirection w:val="lrTb"/>
            <w:noWrap w:val="false"/>
          </w:tcPr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color w:val="3366ff"/>
              </w:rPr>
              <w:br w:type="page" w:clear="all"/>
            </w:r>
            <w:r>
              <w:rPr>
                <w:rFonts w:ascii="Times New Roman" w:hAnsi="Times New Roman" w:cs="Times New Roman"/>
                <w:color w:val="0070c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62000"/>
                      <wp:effectExtent l="0" t="0" r="9525" b="0"/>
                      <wp:docPr id="2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4057113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>
                                <a:lum contrast="2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4" cy="761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0.25pt;height:60.00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ind w:left="34"/>
              <w:spacing w:after="0"/>
              <w:rPr>
                <w:rFonts w:ascii="Times New Roman" w:hAnsi="Times New Roman" w:cs="Times New Roman"/>
                <w:b/>
                <w:color w:val="3366ff"/>
                <w:sz w:val="12"/>
              </w:rPr>
            </w:pP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КОМИТЕТ ПО СОХРАНЕНИЮ 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: </w:t>
            </w:r>
            <w:hyperlink r:id="rId27" w:tooltip="mailto:okn@lenreg.ru" w:history="1"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okn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lenreg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_______________________ № ______________________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На № __________________ от ______________________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5101" w:type="dxa"/>
            <w:textDirection w:val="lrTb"/>
            <w:noWrap w:val="false"/>
          </w:tcPr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36"/>
                <w:szCs w:val="27"/>
              </w:rPr>
            </w:pP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eastAsia="Courier New" w:cs="Times New Roman"/>
                <w:sz w:val="27"/>
                <w:szCs w:val="27"/>
              </w:rPr>
            </w:pP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880"/>
        <w:ind w:firstLine="0"/>
        <w:jc w:val="left"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0"/>
        <w:contextualSpacing/>
        <w:ind w:firstLine="539"/>
        <w:jc w:val="center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contextualSpacing/>
        <w:ind w:firstLine="539"/>
        <w:jc w:val="center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основании заявления от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 № 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предоставлении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освоению»,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требованиями пункта 31 Положения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государственной историко-культурной экспер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тизе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утвержденного постановлением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25 апреля 2024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530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рассмотрен акт государственной историко-культурной экспертизы 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 от «___»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 г. и приложения к нему.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0"/>
        <w:contextualSpacing/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рассмотрения акта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ственной историко-культурной экспертизы от «___» _______ г., прилагаемых документов и материалов комитетом по сохранению культурного наследия Ленинградской области  принято решение о согласии с заключением (актом) экспертизы (прилагается).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Приложение: распоряжение комитета о согласии с выводом, изложенным в заключении (акте) государственной историко-культурной экспертизы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contextualSpacing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Дополнительная информация: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contextualSpacing/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9"/>
        <w:contextualSpacing/>
        <w:jc w:val="left"/>
        <w:rPr>
          <w:bCs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(подпись)</w:t>
        <w:tab/>
        <w:t xml:space="preserve">                               (ФИО)</w:t>
      </w:r>
      <w:r>
        <w:rPr>
          <w:sz w:val="22"/>
          <w:szCs w:val="22"/>
          <w:lang w:val="en-US"/>
        </w:rPr>
        <w:br w:type="page" w:clear="all"/>
      </w:r>
      <w:r>
        <w:rPr>
          <w:bCs/>
        </w:rPr>
      </w:r>
      <w:r>
        <w:rPr>
          <w:bCs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 несогласии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результатами экспертизы)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20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4"/>
        <w:gridCol w:w="5101"/>
      </w:tblGrid>
      <w:tr>
        <w:tblPrEx/>
        <w:trPr/>
        <w:tc>
          <w:tcPr>
            <w:tcW w:w="5104" w:type="dxa"/>
            <w:textDirection w:val="lrTb"/>
            <w:noWrap w:val="false"/>
          </w:tcPr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color w:val="3366ff"/>
              </w:rPr>
              <w:br w:type="page" w:clear="all"/>
            </w:r>
            <w:r>
              <w:rPr>
                <w:rFonts w:ascii="Times New Roman" w:hAnsi="Times New Roman" w:cs="Times New Roman"/>
                <w:color w:val="0070c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62000"/>
                      <wp:effectExtent l="0" t="0" r="9525" b="0"/>
                      <wp:docPr id="3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9967219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>
                                <a:lum contrast="2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4" cy="761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0.25pt;height:60.00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ind w:left="34"/>
              <w:spacing w:after="0"/>
              <w:rPr>
                <w:rFonts w:ascii="Times New Roman" w:hAnsi="Times New Roman" w:cs="Times New Roman"/>
                <w:b/>
                <w:color w:val="3366ff"/>
                <w:sz w:val="12"/>
              </w:rPr>
            </w:pP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КОМИТЕТ ПО СОХРАНЕНИЮ 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: </w:t>
            </w:r>
            <w:hyperlink r:id="rId28" w:tooltip="mailto:okn@lenreg.ru" w:history="1"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okn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lenreg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_______________________ № ______________________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На № __________________ от ______________________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5101" w:type="dxa"/>
            <w:textDirection w:val="lrTb"/>
            <w:noWrap w:val="false"/>
          </w:tcPr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36"/>
                <w:szCs w:val="27"/>
              </w:rPr>
            </w:pP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eastAsia="Courier New" w:cs="Times New Roman"/>
                <w:sz w:val="27"/>
                <w:szCs w:val="27"/>
              </w:rPr>
            </w:pP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880"/>
        <w:ind w:firstLine="0"/>
        <w:jc w:val="left"/>
        <w:rPr>
          <w:sz w:val="20"/>
          <w:szCs w:val="20"/>
        </w:rPr>
        <w:outlineLvl w:val="0"/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80"/>
        <w:contextualSpacing/>
        <w:ind w:firstLine="539"/>
        <w:jc w:val="center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Заключение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0"/>
        <w:contextualSpacing/>
        <w:ind w:firstLine="539"/>
        <w:jc w:val="center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акт государственной историко-культурной экспертизы земельного участка, подлежащего хозяйственному освоению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На основании заявления от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 № 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предоставлении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освоению»,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требованиями пункта 31 Положения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 государственной историко-культурной экспер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тизе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утвержденного постановлением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Правительства Российской Федерации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25 апреля 2024 года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530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рассмотрен акт государственной историко-культурной экспертизы 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_________________ от «___»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 г. и приложения к нему.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0"/>
        <w:contextualSpacing/>
        <w:ind w:firstLine="709"/>
        <w:jc w:val="both"/>
        <w:spacing w:before="0" w:after="272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результатам рассмотрения акта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ственной историко-культурной экспертизы от «___» ____ г., прилагаемых документов и материалов комитетом по сохранению культурного наследия Ленинградской области  принято решение о несогл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асии с заключением экспертизы.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80"/>
        <w:contextualSpacing/>
        <w:ind w:firstLine="708"/>
        <w:jc w:val="both"/>
        <w:spacing w:before="0" w:after="272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Причины несогласия (отметить нужное):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6"/>
        <w:numPr>
          <w:ilvl w:val="0"/>
          <w:numId w:val="15"/>
        </w:numPr>
        <w:ind w:left="764" w:hanging="55"/>
        <w:jc w:val="both"/>
        <w:rPr>
          <w:rFonts w:ascii="Times New Roman" w:hAnsi="Times New Roman" w:eastAsia="Arial" w:cs="Times New Roman"/>
          <w:sz w:val="28"/>
          <w:szCs w:val="28"/>
          <w:lang w:eastAsia="hi-IN"/>
        </w:rPr>
      </w:pP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</w:p>
    <w:p>
      <w:pPr>
        <w:pStyle w:val="906"/>
        <w:numPr>
          <w:ilvl w:val="0"/>
          <w:numId w:val="15"/>
        </w:numPr>
        <w:ind w:left="764" w:hanging="55"/>
        <w:jc w:val="both"/>
        <w:rPr>
          <w:rFonts w:ascii="Times New Roman" w:hAnsi="Times New Roman" w:eastAsia="Arial" w:cs="Times New Roman"/>
          <w:sz w:val="28"/>
          <w:szCs w:val="28"/>
          <w:lang w:eastAsia="hi-IN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hi-I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истечение 3-летнего срока со дня оформления заключения экспертизы;</w:t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</w:p>
    <w:p>
      <w:pPr>
        <w:pStyle w:val="906"/>
        <w:numPr>
          <w:ilvl w:val="0"/>
          <w:numId w:val="15"/>
        </w:numPr>
        <w:ind w:left="764" w:hanging="55"/>
        <w:jc w:val="both"/>
        <w:rPr>
          <w:rFonts w:ascii="Times New Roman" w:hAnsi="Times New Roman" w:eastAsia="Arial" w:cs="Times New Roman"/>
          <w:sz w:val="28"/>
          <w:szCs w:val="28"/>
          <w:lang w:eastAsia="hi-IN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hi-I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нарушение установленного порядка проведения экспертизы;</w:t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</w:p>
    <w:p>
      <w:pPr>
        <w:pStyle w:val="906"/>
        <w:numPr>
          <w:ilvl w:val="0"/>
          <w:numId w:val="15"/>
        </w:numPr>
        <w:ind w:left="764" w:hanging="55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Arial" w:cs="Times New Roman"/>
          <w:sz w:val="28"/>
          <w:szCs w:val="28"/>
          <w:highlight w:val="none"/>
          <w:lang w:eastAsia="hi-I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в отношении эксперта, подписавшего заключение экспертизы, обстоятельств, предусмотренных </w:t>
      </w:r>
      <w:hyperlink r:id="rId29" w:tooltip="https://login.consultant.ru/link/?req=doc&amp;base=LAW&amp;n=502109&amp;dst=100022&amp;field=134&amp;date=04.12.2025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5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о государственной историко-культурной экспертизе, утвержденного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 Правительства РФ от 25.04.2024 № 530;</w:t>
      </w:r>
      <w:r>
        <w:rPr>
          <w:rFonts w:ascii="Times New Roman" w:hAnsi="Times New Roman" w:eastAsia="Times New Roman" w:cs="Times New Roman"/>
          <w:sz w:val="28"/>
          <w:szCs w:val="28"/>
          <w:lang w:eastAsia="hi-IN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06"/>
        <w:numPr>
          <w:ilvl w:val="0"/>
          <w:numId w:val="15"/>
        </w:numPr>
        <w:ind w:left="764" w:hanging="55"/>
        <w:jc w:val="both"/>
        <w:rPr>
          <w:rFonts w:ascii="Times New Roman" w:hAnsi="Times New Roman" w:eastAsia="Arial" w:cs="Times New Roman"/>
          <w:sz w:val="28"/>
          <w:szCs w:val="28"/>
          <w:lang w:eastAsia="hi-IN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 для проведения экспертизы документов,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указанных в </w:t>
      </w:r>
      <w:hyperlink r:id="rId30" w:tooltip="https://login.consultant.ru/link/?req=doc&amp;base=LAW&amp;n=502109&amp;dst=100071&amp;field=134&amp;date=04.12.2025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пункте 15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Положения о государственной историко-культурной экспертизе, утвержденного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остановлением Правительства РФ от 25.04.2024 № 530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содержащих недостоверные сведения.</w:t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  <w:r>
        <w:rPr>
          <w:rFonts w:ascii="Times New Roman" w:hAnsi="Times New Roman" w:eastAsia="Arial" w:cs="Times New Roman"/>
          <w:sz w:val="28"/>
          <w:szCs w:val="28"/>
          <w:lang w:eastAsia="hi-IN"/>
        </w:rPr>
      </w:r>
    </w:p>
    <w:p>
      <w:pPr>
        <w:pStyle w:val="880"/>
        <w:contextualSpacing/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Дополнительная информация: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889"/>
        <w:contextualSpacing/>
        <w:jc w:val="left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</w:rPr>
        <w:t xml:space="preserve">Образец 3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0"/>
        <w:ind w:firstLine="539"/>
        <w:jc w:val="right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20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104"/>
        <w:gridCol w:w="5101"/>
      </w:tblGrid>
      <w:tr>
        <w:tblPrEx/>
        <w:trPr/>
        <w:tc>
          <w:tcPr>
            <w:tcW w:w="5104" w:type="dxa"/>
            <w:textDirection w:val="lrTb"/>
            <w:noWrap w:val="false"/>
          </w:tcPr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/>
                <w:color w:val="0070c0"/>
              </w:rPr>
            </w:pPr>
            <w:r>
              <w:rPr>
                <w:rFonts w:ascii="Times New Roman" w:hAnsi="Times New Roman" w:cs="Times New Roman"/>
                <w:color w:val="3366ff"/>
              </w:rPr>
              <w:br w:type="page" w:clear="all"/>
            </w:r>
            <w:r>
              <w:rPr>
                <w:rFonts w:ascii="Times New Roman" w:hAnsi="Times New Roman" w:cs="Times New Roman"/>
                <w:color w:val="0070c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38175" cy="762000"/>
                      <wp:effectExtent l="0" t="0" r="9525" b="0"/>
                      <wp:docPr id="4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92642966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>
                                <a:lum contrast="20000"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638174" cy="7619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50.25pt;height:60.00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  <w:r>
              <w:rPr>
                <w:rFonts w:ascii="Times New Roman" w:hAnsi="Times New Roman" w:cs="Times New Roman"/>
                <w:b/>
                <w:color w:val="0070c0"/>
              </w:rPr>
            </w:r>
          </w:p>
          <w:p>
            <w:pPr>
              <w:ind w:left="34"/>
              <w:spacing w:after="0"/>
              <w:rPr>
                <w:rFonts w:ascii="Times New Roman" w:hAnsi="Times New Roman" w:cs="Times New Roman"/>
                <w:b/>
                <w:color w:val="3366ff"/>
                <w:sz w:val="12"/>
              </w:rPr>
            </w:pP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  <w:r>
              <w:rPr>
                <w:rFonts w:ascii="Times New Roman" w:hAnsi="Times New Roman" w:cs="Times New Roman"/>
                <w:b/>
                <w:color w:val="3366ff"/>
                <w:sz w:val="12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КОМИТЕТ ПО СОХРАНЕНИЮ 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КУЛЬТУРНОГО НАСЛЕДИЯ</w:t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ЛЕНИНГРАДСКОЙ ОБЛАСТИ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191311, Санкт-Петербург, ул. Смольного, д.3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Тел./факс: 8 (812) 539-45-00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Cs/>
                <w:color w:val="0070c0"/>
                <w:sz w:val="16"/>
                <w:szCs w:val="16"/>
              </w:rPr>
              <w:t xml:space="preserve">: </w:t>
            </w:r>
            <w:hyperlink r:id="rId31" w:tooltip="mailto:okn@lenreg.ru" w:history="1"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okn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lenreg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70c0"/>
                  <w:sz w:val="16"/>
                  <w:szCs w:val="16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  <w:r>
              <w:rPr>
                <w:rFonts w:ascii="Times New Roman" w:hAnsi="Times New Roman" w:cs="Times New Roman"/>
                <w:color w:val="0070c0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_______________________ № ______________________</w:t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ind w:left="34"/>
              <w:jc w:val="center"/>
              <w:spacing w:after="0"/>
              <w:rPr>
                <w:rFonts w:ascii="Times New Roman" w:hAnsi="Times New Roman" w:cs="Times New Roman"/>
                <w:color w:val="0070c0"/>
                <w:sz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  <w:r>
              <w:rPr>
                <w:rFonts w:ascii="Times New Roman" w:hAnsi="Times New Roman" w:cs="Times New Roman"/>
                <w:color w:val="0070c0"/>
                <w:sz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</w:rPr>
              <w:t xml:space="preserve">На № __________________ от ______________________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</w:p>
        </w:tc>
        <w:tc>
          <w:tcPr>
            <w:tcW w:w="5101" w:type="dxa"/>
            <w:textDirection w:val="lrTb"/>
            <w:noWrap w:val="false"/>
          </w:tcPr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460"/>
              <w:jc w:val="center"/>
              <w:widowControl w:val="off"/>
              <w:rPr>
                <w:rFonts w:ascii="Times New Roman" w:hAnsi="Times New Roman" w:cs="Times New Roman"/>
                <w:sz w:val="36"/>
                <w:szCs w:val="27"/>
              </w:rPr>
            </w:pP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  <w:r>
              <w:rPr>
                <w:rFonts w:ascii="Times New Roman" w:hAnsi="Times New Roman" w:cs="Times New Roman"/>
                <w:sz w:val="36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eastAsia="Courier New" w:cs="Times New Roman"/>
                <w:sz w:val="27"/>
                <w:szCs w:val="27"/>
              </w:rPr>
            </w:pP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  <w:r>
              <w:rPr>
                <w:rFonts w:ascii="Times New Roman" w:hAnsi="Times New Roman" w:eastAsia="Courier New" w:cs="Times New Roman"/>
                <w:sz w:val="27"/>
                <w:szCs w:val="27"/>
              </w:rPr>
            </w:r>
          </w:p>
          <w:p>
            <w:pPr>
              <w:ind w:left="175"/>
              <w:jc w:val="center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1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ведомление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отказе в предоставлении государственной услуги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</w:t>
      </w:r>
      <w:r>
        <w:rPr>
          <w:sz w:val="28"/>
          <w:szCs w:val="28"/>
        </w:rPr>
        <w:t xml:space="preserve">сохранению </w:t>
      </w:r>
      <w:r>
        <w:rPr>
          <w:sz w:val="28"/>
          <w:szCs w:val="28"/>
        </w:rPr>
        <w:t xml:space="preserve">культур</w:t>
      </w:r>
      <w:r>
        <w:rPr>
          <w:sz w:val="28"/>
          <w:szCs w:val="28"/>
        </w:rPr>
        <w:t xml:space="preserve">ного наследия</w:t>
      </w:r>
      <w:r>
        <w:rPr>
          <w:sz w:val="28"/>
          <w:szCs w:val="28"/>
        </w:rPr>
        <w:t xml:space="preserve"> Ленинградской области сообщает Вам о том, что по результатам рассмотрения заявления от ____________ № ________ о </w:t>
      </w:r>
      <w:r>
        <w:rPr>
          <w:sz w:val="28"/>
          <w:szCs w:val="28"/>
        </w:rPr>
        <w:t xml:space="preserve">предоставлении государственной услуги «Выдача заключения на акт государственной историко-культурной экспертизы земельного участка, подлежащего хозяйственному освоению»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сообщает об отказе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firstLine="708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Причины отказа (отметить нужное):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pStyle w:val="906"/>
        <w:numPr>
          <w:ilvl w:val="0"/>
          <w:numId w:val="17"/>
        </w:numPr>
        <w:ind w:left="764" w:hanging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17"/>
        </w:numPr>
        <w:ind w:left="764" w:hanging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аявление на получение услуги оформлено не в соответствии с настоящим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регламентом;</w:t>
      </w:r>
      <w:r>
        <w:rPr>
          <w:rFonts w:ascii="Times New Roman" w:hAnsi="Times New Roman" w:eastAsia="Times New Roman" w:cs="Times New Roman"/>
          <w:sz w:val="28"/>
          <w:szCs w:val="28"/>
          <w:lang w:eastAsia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17"/>
        </w:numPr>
        <w:ind w:left="764" w:hanging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редставленные заявителем документы не отвечают требованиям, установленным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настоящим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регламентом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numPr>
          <w:ilvl w:val="0"/>
          <w:numId w:val="17"/>
        </w:numPr>
        <w:ind w:left="764" w:hanging="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редставленные заявителем документы недействительны/указанные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заявлении сведения недостоверны.</w:t>
      </w:r>
      <w:r>
        <w:rPr>
          <w:rFonts w:ascii="Times New Roman" w:hAnsi="Times New Roman" w:eastAsia="Times New Roman" w:cs="Times New Roman"/>
          <w:sz w:val="28"/>
          <w:szCs w:val="28"/>
          <w:lang w:eastAsia="hi-I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ind w:firstLine="708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информация: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ind w:left="4248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vertAlign w:val="superscript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  <w:t xml:space="preserve">Образец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 заявления о предоставлении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государственной услуги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комитет по сохранению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культурного наследия 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8"/>
        </w:rPr>
        <w:t xml:space="preserve">______________________________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(для физического лица: ФИО, наименование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документа, удостоверяющего личность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серия, номер, дата выдачи, кем выдан,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телефон,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для представителя: дополнительно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документ, подтверждающий полномочия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представителя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для ИП: дополнительно ОГРНИП, ИНН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для юридического лица: полное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наименование, организационно-правовая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форма, ИНН, ОГРН)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9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выдаче заключения на акт государственной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историко-культурной экспертизы земельного участка,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подлежащего хозяйственному освоению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</w:t>
      </w:r>
      <w:r>
        <w:rPr>
          <w:rFonts w:ascii="Times New Roman" w:hAnsi="Times New Roman" w:cs="Times New Roman"/>
          <w:sz w:val="28"/>
          <w:szCs w:val="28"/>
        </w:rPr>
        <w:t xml:space="preserve"> выдать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историко-культурной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  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хозяйственному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освоению, в отношении земельного участка, расположенного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адресу (описание местонахождения, координаты) 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кадастровым номером 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Площадь (кв. м): __________________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Прилагаю  положительный  Акт государственной историко-культурной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участка, подлежащих хозяйственному освоению, и приложения к нему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прошу направить мне (</w:t>
      </w:r>
      <w:r>
        <w:rPr>
          <w:rFonts w:ascii="Times New Roman" w:hAnsi="Times New Roman" w:cs="Times New Roman"/>
          <w:sz w:val="28"/>
          <w:szCs w:val="28"/>
        </w:rPr>
        <w:t xml:space="preserve">подчеркнуть</w:t>
      </w:r>
      <w:r>
        <w:rPr>
          <w:rFonts w:ascii="Times New Roman" w:hAnsi="Times New Roman" w:cs="Times New Roman"/>
          <w:sz w:val="28"/>
          <w:szCs w:val="28"/>
        </w:rPr>
        <w:t xml:space="preserve">):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в личном кабинете на ЕПГУ;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 бумажном носителе в виде распечатанного экземпляра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документа в </w:t>
      </w:r>
      <w:r>
        <w:rPr>
          <w:rFonts w:ascii="Times New Roman" w:hAnsi="Times New Roman" w:cs="Times New Roman"/>
          <w:sz w:val="28"/>
          <w:szCs w:val="28"/>
        </w:rPr>
        <w:t xml:space="preserve">комитете по сохранению культурного наследия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___________________         </w:t>
      </w:r>
      <w:r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_________________________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 (расшифровка подписи)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8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______________________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567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Wingdings">
    <w:panose1 w:val="05010000000000000000"/>
  </w:font>
  <w:font w:name="OpenSymbol">
    <w:panose1 w:val="05010000000000000000"/>
  </w:font>
  <w:font w:name="Courier New">
    <w:panose1 w:val="02070309020205020404"/>
  </w:font>
  <w:font w:name="Symbol">
    <w:panose1 w:val="05010000000000000000"/>
  </w:font>
  <w:font w:name="Open Sans">
    <w:panose1 w:val="020B060603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892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☐"/>
      <w:lvlJc w:val="left"/>
      <w:pPr>
        <w:ind w:left="851" w:firstLine="0"/>
      </w:pPr>
      <w:rPr>
        <w:rFonts w:ascii="Segoe UI Symbol" w:hAnsi="Segoe UI Symbol"/>
      </w:rPr>
    </w:lvl>
    <w:lvl w:ilvl="1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  <w:lvl w:ilvl="3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OpenSymbol" w:hAnsi="OpenSymbol" w:eastAsia="Open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  <w:lvl w:ilvl="6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OpenSymbol" w:hAnsi="OpenSymbol" w:eastAsia="Open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☐"/>
      <w:lvlJc w:val="left"/>
      <w:pPr>
        <w:ind w:left="851" w:firstLine="0"/>
      </w:pPr>
      <w:rPr>
        <w:rFonts w:ascii="Segoe UI Symbol" w:hAnsi="Segoe UI Symbol"/>
      </w:rPr>
    </w:lvl>
    <w:lvl w:ilvl="1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  <w:lvl w:ilvl="3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OpenSymbol" w:hAnsi="OpenSymbol" w:eastAsia="Open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  <w:lvl w:ilvl="6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OpenSymbol" w:hAnsi="OpenSymbol" w:eastAsia="Open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☐"/>
      <w:lvlJc w:val="left"/>
      <w:pPr>
        <w:ind w:left="851" w:firstLine="0"/>
      </w:pPr>
      <w:rPr>
        <w:rFonts w:ascii="Segoe UI Symbol" w:hAnsi="Segoe UI Symbol"/>
      </w:rPr>
    </w:lvl>
    <w:lvl w:ilvl="1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2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  <w:lvl w:ilvl="3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OpenSymbol" w:hAnsi="OpenSymbol" w:eastAsia="OpenSymbol" w:cs="OpenSymbol"/>
      </w:rPr>
    </w:lvl>
    <w:lvl w:ilvl="4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5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  <w:lvl w:ilvl="6">
      <w:start w:val="1"/>
      <w:numFmt w:val="bullet"/>
      <w:isLgl w:val="false"/>
      <w:suff w:val="tab"/>
      <w:lvlText w:val="•"/>
      <w:lvlJc w:val="left"/>
      <w:pPr>
        <w:ind w:left="0" w:firstLine="0"/>
      </w:pPr>
      <w:rPr>
        <w:rFonts w:ascii="OpenSymbol" w:hAnsi="OpenSymbol" w:eastAsia="OpenSymbol" w:cs="OpenSymbol"/>
      </w:rPr>
    </w:lvl>
    <w:lvl w:ilvl="7">
      <w:start w:val="1"/>
      <w:numFmt w:val="bullet"/>
      <w:isLgl w:val="false"/>
      <w:suff w:val="tab"/>
      <w:lvlText w:val="◦"/>
      <w:lvlJc w:val="left"/>
      <w:pPr>
        <w:ind w:left="0" w:firstLine="0"/>
      </w:pPr>
      <w:rPr>
        <w:rFonts w:ascii="OpenSymbol" w:hAnsi="OpenSymbol" w:eastAsia="OpenSymbol" w:cs="OpenSymbol"/>
      </w:rPr>
    </w:lvl>
    <w:lvl w:ilvl="8">
      <w:start w:val="1"/>
      <w:numFmt w:val="bullet"/>
      <w:isLgl w:val="false"/>
      <w:suff w:val="tab"/>
      <w:lvlText w:val="▪"/>
      <w:lvlJc w:val="left"/>
      <w:pPr>
        <w:ind w:left="0" w:firstLine="0"/>
      </w:pPr>
      <w:rPr>
        <w:rFonts w:ascii="OpenSymbol" w:hAnsi="OpenSymbol" w:eastAsia="OpenSymbol" w:cs="OpenSymbol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3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0"/>
  </w:num>
  <w:num w:numId="11">
    <w:abstractNumId w:val="1"/>
  </w:num>
  <w:num w:numId="12">
    <w:abstractNumId w:val="9"/>
  </w:num>
  <w:num w:numId="13">
    <w:abstractNumId w:val="3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0"/>
    <w:next w:val="880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1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0"/>
    <w:next w:val="880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basedOn w:val="881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basedOn w:val="881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1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1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1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1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1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0"/>
    <w:next w:val="880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1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Title"/>
    <w:basedOn w:val="880"/>
    <w:next w:val="880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basedOn w:val="881"/>
    <w:link w:val="726"/>
    <w:uiPriority w:val="10"/>
    <w:rPr>
      <w:sz w:val="48"/>
      <w:szCs w:val="48"/>
    </w:rPr>
  </w:style>
  <w:style w:type="paragraph" w:styleId="728">
    <w:name w:val="Subtitle"/>
    <w:basedOn w:val="880"/>
    <w:next w:val="880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1"/>
    <w:link w:val="728"/>
    <w:uiPriority w:val="11"/>
    <w:rPr>
      <w:sz w:val="24"/>
      <w:szCs w:val="24"/>
    </w:rPr>
  </w:style>
  <w:style w:type="paragraph" w:styleId="730">
    <w:name w:val="Quote"/>
    <w:basedOn w:val="880"/>
    <w:next w:val="880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0"/>
    <w:next w:val="880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character" w:styleId="734">
    <w:name w:val="Header Char"/>
    <w:basedOn w:val="881"/>
    <w:link w:val="892"/>
    <w:uiPriority w:val="99"/>
  </w:style>
  <w:style w:type="character" w:styleId="735">
    <w:name w:val="Footer Char"/>
    <w:basedOn w:val="881"/>
    <w:link w:val="894"/>
    <w:uiPriority w:val="99"/>
  </w:style>
  <w:style w:type="paragraph" w:styleId="736">
    <w:name w:val="Caption"/>
    <w:basedOn w:val="880"/>
    <w:next w:val="880"/>
    <w:link w:val="7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7">
    <w:name w:val="Caption Char"/>
    <w:basedOn w:val="736"/>
    <w:link w:val="894"/>
    <w:uiPriority w:val="99"/>
  </w:style>
  <w:style w:type="table" w:styleId="738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7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9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9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0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1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2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3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4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6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1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2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3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4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5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6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9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1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2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3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4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5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6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7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8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9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0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1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2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7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9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0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1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2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>
    <w:name w:val="List Paragraph"/>
    <w:basedOn w:val="880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885">
    <w:name w:val="Balloon Text"/>
    <w:basedOn w:val="880"/>
    <w:link w:val="88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81"/>
    <w:link w:val="885"/>
    <w:uiPriority w:val="99"/>
    <w:semiHidden/>
    <w:rPr>
      <w:rFonts w:ascii="Tahoma" w:hAnsi="Tahoma" w:cs="Tahoma"/>
      <w:sz w:val="16"/>
      <w:szCs w:val="16"/>
    </w:rPr>
  </w:style>
  <w:style w:type="table" w:styleId="887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88">
    <w:name w:val="Hyperlink"/>
    <w:basedOn w:val="881"/>
    <w:uiPriority w:val="99"/>
    <w:unhideWhenUsed/>
    <w:rPr>
      <w:color w:val="0000ff" w:themeColor="hyperlink"/>
      <w:u w:val="single"/>
    </w:rPr>
  </w:style>
  <w:style w:type="paragraph" w:styleId="88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90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91">
    <w:name w:val="No Spacing"/>
    <w:uiPriority w:val="1"/>
    <w:qFormat/>
    <w:pPr>
      <w:spacing w:after="0" w:line="240" w:lineRule="auto"/>
    </w:pPr>
  </w:style>
  <w:style w:type="paragraph" w:styleId="892">
    <w:name w:val="Header"/>
    <w:basedOn w:val="880"/>
    <w:link w:val="89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81"/>
    <w:link w:val="892"/>
    <w:uiPriority w:val="99"/>
  </w:style>
  <w:style w:type="paragraph" w:styleId="894">
    <w:name w:val="Footer"/>
    <w:basedOn w:val="880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81"/>
    <w:link w:val="894"/>
    <w:uiPriority w:val="99"/>
  </w:style>
  <w:style w:type="character" w:styleId="896">
    <w:name w:val="annotation reference"/>
    <w:basedOn w:val="881"/>
    <w:uiPriority w:val="99"/>
    <w:semiHidden/>
    <w:unhideWhenUsed/>
    <w:rPr>
      <w:sz w:val="16"/>
      <w:szCs w:val="16"/>
    </w:rPr>
  </w:style>
  <w:style w:type="paragraph" w:styleId="897">
    <w:name w:val="annotation text"/>
    <w:basedOn w:val="880"/>
    <w:link w:val="89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98" w:customStyle="1">
    <w:name w:val="Текст примечания Знак"/>
    <w:basedOn w:val="881"/>
    <w:link w:val="897"/>
    <w:uiPriority w:val="99"/>
    <w:semiHidden/>
    <w:rPr>
      <w:sz w:val="20"/>
      <w:szCs w:val="20"/>
    </w:rPr>
  </w:style>
  <w:style w:type="paragraph" w:styleId="899">
    <w:name w:val="annotation subject"/>
    <w:basedOn w:val="897"/>
    <w:next w:val="897"/>
    <w:link w:val="900"/>
    <w:uiPriority w:val="99"/>
    <w:semiHidden/>
    <w:unhideWhenUsed/>
    <w:rPr>
      <w:b/>
      <w:bCs/>
    </w:rPr>
  </w:style>
  <w:style w:type="character" w:styleId="900" w:customStyle="1">
    <w:name w:val="Тема примечания Знак"/>
    <w:basedOn w:val="898"/>
    <w:link w:val="899"/>
    <w:uiPriority w:val="99"/>
    <w:semiHidden/>
    <w:rPr>
      <w:b/>
      <w:bCs/>
      <w:sz w:val="20"/>
      <w:szCs w:val="20"/>
    </w:rPr>
  </w:style>
  <w:style w:type="paragraph" w:styleId="901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2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3">
    <w:name w:val="Body Text Indent"/>
    <w:basedOn w:val="880"/>
    <w:link w:val="904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04" w:customStyle="1">
    <w:name w:val="Основной текст с отступом Знак"/>
    <w:basedOn w:val="881"/>
    <w:link w:val="903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0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6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Open Sans" w:cs="Aria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7B48B011DDA30CF4E10CFE9026712B36B43DD4A0820B9C5874182EC44D5BA4BED47625FF13E4C7A38DE0E767C8AEF8E220A3BBE297FF471CgF53I" TargetMode="External"/><Relationship Id="rId13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4" Type="http://schemas.openxmlformats.org/officeDocument/2006/relationships/hyperlink" Target="https://login.consultant.ru/link/?req=doc&amp;base=SPB&amp;n=311791&amp;dst=100657" TargetMode="External"/><Relationship Id="rId15" Type="http://schemas.openxmlformats.org/officeDocument/2006/relationships/hyperlink" Target="https://login.consultant.ru/link/?req=doc&amp;base=LAW&amp;n=494996&amp;dst=427" TargetMode="External"/><Relationship Id="rId16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508991&amp;dst=100209" TargetMode="External"/><Relationship Id="rId18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https://login.consultant.ru/link/?req=doc&amp;base=LAW&amp;n=494999&amp;dst=100189" TargetMode="External"/><Relationship Id="rId23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LAW&amp;n=494999&amp;dst=100243" TargetMode="External"/><Relationship Id="rId25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6" Type="http://schemas.openxmlformats.org/officeDocument/2006/relationships/image" Target="media/image2.jpg"/><Relationship Id="rId27" Type="http://schemas.openxmlformats.org/officeDocument/2006/relationships/hyperlink" Target="mailto:okn@lenreg.ru" TargetMode="External"/><Relationship Id="rId28" Type="http://schemas.openxmlformats.org/officeDocument/2006/relationships/hyperlink" Target="mailto:okn@lenreg.ru" TargetMode="External"/><Relationship Id="rId29" Type="http://schemas.openxmlformats.org/officeDocument/2006/relationships/hyperlink" Target="https://login.consultant.ru/link/?req=doc&amp;base=LAW&amp;n=502109&amp;dst=100022&amp;field=134&amp;date=04.12.2025" TargetMode="External"/><Relationship Id="rId30" Type="http://schemas.openxmlformats.org/officeDocument/2006/relationships/hyperlink" Target="https://login.consultant.ru/link/?req=doc&amp;base=LAW&amp;n=502109&amp;dst=100071&amp;field=134&amp;date=04.12.2025" TargetMode="External"/><Relationship Id="rId31" Type="http://schemas.openxmlformats.org/officeDocument/2006/relationships/hyperlink" Target="mailto:okn@lenreg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4516-B754-41CD-8361-7F7C000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nk_naskovets</cp:lastModifiedBy>
  <cp:revision>86</cp:revision>
  <dcterms:created xsi:type="dcterms:W3CDTF">2025-09-23T13:24:00Z</dcterms:created>
  <dcterms:modified xsi:type="dcterms:W3CDTF">2025-12-05T12:29:35Z</dcterms:modified>
</cp:coreProperties>
</file>