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commentsExtensible.xml" ContentType="application/vnd.openxmlformats-officedocument.wordprocessingml.commentsExtensibl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4536"/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/>
      <w:bookmarkStart w:id="0" w:name="_GoBack"/>
      <w:r/>
      <w:bookmarkEnd w:id="0"/>
      <w:r>
        <w:rPr>
          <w:rFonts w:ascii="Arial" w:hAnsi="Arial" w:eastAsia="Times New Roman" w:cs="Arial"/>
          <w:color w:val="444444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 xml:space="preserve">УТВЕРЖДЕН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left="4536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распоряжением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4536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комитета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сохранению культурного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4536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наследия Ленинградской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области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4536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от______</w:t>
      </w:r>
      <w:r>
        <w:rPr>
          <w:rFonts w:ascii="Times New Roman" w:hAnsi="Times New Roman" w:cs="Times New Roman"/>
          <w:sz w:val="28"/>
          <w:szCs w:val="28"/>
        </w:rPr>
        <w:t xml:space="preserve">___</w:t>
      </w:r>
      <w:r>
        <w:rPr>
          <w:rFonts w:ascii="Times New Roman" w:hAnsi="Times New Roman" w:cs="Times New Roman"/>
          <w:sz w:val="28"/>
          <w:szCs w:val="28"/>
        </w:rPr>
        <w:t xml:space="preserve">_______№____</w:t>
      </w:r>
      <w:r>
        <w:rPr>
          <w:rFonts w:ascii="Times New Roman" w:hAnsi="Times New Roman" w:cs="Times New Roman"/>
          <w:sz w:val="28"/>
          <w:szCs w:val="28"/>
        </w:rPr>
        <w:t xml:space="preserve">___</w:t>
      </w:r>
      <w:r>
        <w:rPr>
          <w:rFonts w:ascii="Times New Roman" w:hAnsi="Times New Roman" w:cs="Times New Roman"/>
          <w:sz w:val="28"/>
          <w:szCs w:val="28"/>
        </w:rPr>
        <w:t xml:space="preserve">__</w:t>
      </w:r>
      <w:r>
        <w:rPr>
          <w:rFonts w:ascii="Times New Roman" w:hAnsi="Times New Roman" w:cs="Times New Roman"/>
          <w:sz w:val="28"/>
          <w:szCs w:val="28"/>
        </w:rPr>
        <w:t xml:space="preserve">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4678" w:firstLine="425"/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left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ДОКЛАД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результатах обобщения правоприменительной практики </w:t>
        <w:br/>
      </w:r>
      <w:r>
        <w:rPr>
          <w:rFonts w:ascii="Times New Roman" w:hAnsi="Times New Roman" w:cs="Times New Roman"/>
          <w:b/>
          <w:sz w:val="28"/>
          <w:szCs w:val="28"/>
        </w:rPr>
        <w:t xml:space="preserve">при осуще</w:t>
      </w:r>
      <w:r>
        <w:rPr>
          <w:rFonts w:ascii="Times New Roman" w:hAnsi="Times New Roman" w:cs="Times New Roman"/>
          <w:b/>
          <w:sz w:val="28"/>
          <w:szCs w:val="28"/>
        </w:rPr>
        <w:t xml:space="preserve">ствлении комитетом по сохранению</w:t>
      </w:r>
      <w:r>
        <w:rPr>
          <w:rFonts w:ascii="Times New Roman" w:hAnsi="Times New Roman" w:cs="Times New Roman"/>
          <w:b/>
          <w:sz w:val="28"/>
          <w:szCs w:val="28"/>
        </w:rPr>
        <w:t xml:space="preserve"> культурного наследия Ленинградской области регионального государственного</w:t>
        <w:br/>
        <w:t xml:space="preserve"> контроля (надзора) за состоянием Музейного фонда </w:t>
        <w:br/>
        <w:t xml:space="preserve">Российской Федерации </w:t>
      </w:r>
      <w:r>
        <w:rPr>
          <w:rFonts w:ascii="Times New Roman" w:hAnsi="Times New Roman" w:cs="Times New Roman"/>
          <w:b/>
          <w:sz w:val="28"/>
          <w:szCs w:val="28"/>
        </w:rPr>
        <w:t xml:space="preserve">за 2025 год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В соответствии</w:t>
      </w:r>
      <w:r>
        <w:rPr>
          <w:rFonts w:ascii="Times New Roman" w:hAnsi="Times New Roman" w:eastAsia="Calibri" w:cs="Times New Roman"/>
          <w:sz w:val="28"/>
          <w:szCs w:val="28"/>
        </w:rPr>
        <w:t xml:space="preserve"> с</w:t>
      </w:r>
      <w:r>
        <w:rPr>
          <w:rFonts w:ascii="Times New Roman" w:hAnsi="Times New Roman" w:eastAsia="Calibri" w:cs="Times New Roman"/>
          <w:sz w:val="28"/>
          <w:szCs w:val="28"/>
        </w:rPr>
        <w:t xml:space="preserve">о </w:t>
      </w:r>
      <w:r>
        <w:rPr>
          <w:rFonts w:ascii="Times New Roman" w:hAnsi="Times New Roman" w:eastAsia="Calibri" w:cs="Times New Roman"/>
          <w:sz w:val="28"/>
          <w:szCs w:val="28"/>
        </w:rPr>
        <w:t xml:space="preserve">статьей 12.2 Федерального закона </w:t>
      </w:r>
      <w:r>
        <w:rPr>
          <w:rFonts w:ascii="Times New Roman" w:hAnsi="Times New Roman" w:eastAsia="Calibri" w:cs="Times New Roman"/>
          <w:sz w:val="28"/>
          <w:szCs w:val="28"/>
        </w:rPr>
        <w:t xml:space="preserve">«</w:t>
      </w:r>
      <w:r>
        <w:rPr>
          <w:rFonts w:ascii="Times New Roman" w:hAnsi="Times New Roman" w:eastAsia="Calibri" w:cs="Times New Roman"/>
          <w:sz w:val="28"/>
          <w:szCs w:val="28"/>
        </w:rPr>
        <w:t xml:space="preserve">О Музейном фонде Российской Федерации </w:t>
      </w:r>
      <w:r>
        <w:rPr>
          <w:rFonts w:ascii="Times New Roman" w:hAnsi="Times New Roman" w:eastAsia="Calibri" w:cs="Times New Roman"/>
          <w:sz w:val="28"/>
          <w:szCs w:val="28"/>
        </w:rPr>
        <w:t xml:space="preserve">и музеях в Российской Федерации» </w:t>
        <w:br/>
      </w:r>
      <w:r>
        <w:rPr>
          <w:rFonts w:ascii="Times New Roman" w:hAnsi="Times New Roman" w:eastAsia="Calibri" w:cs="Times New Roman"/>
          <w:sz w:val="28"/>
          <w:szCs w:val="28"/>
        </w:rPr>
        <w:t xml:space="preserve">от 26.05.1996 № 54-ФЗ</w:t>
      </w:r>
      <w:r>
        <w:rPr>
          <w:rFonts w:ascii="Times New Roman" w:hAnsi="Times New Roman" w:eastAsia="Calibri" w:cs="Times New Roman"/>
          <w:sz w:val="28"/>
          <w:szCs w:val="28"/>
        </w:rPr>
        <w:t xml:space="preserve"> (далее</w:t>
      </w:r>
      <w:r>
        <w:rPr>
          <w:rFonts w:ascii="Times New Roman" w:hAnsi="Times New Roman" w:eastAsia="Calibri" w:cs="Times New Roman"/>
          <w:sz w:val="28"/>
          <w:szCs w:val="28"/>
        </w:rPr>
        <w:t xml:space="preserve"> также</w:t>
      </w:r>
      <w:r>
        <w:rPr>
          <w:rFonts w:ascii="Times New Roman" w:hAnsi="Times New Roman" w:eastAsia="Calibri" w:cs="Times New Roman"/>
          <w:sz w:val="28"/>
          <w:szCs w:val="28"/>
        </w:rPr>
        <w:t xml:space="preserve"> – Федеральный закон № 54-ФЗ)</w:t>
      </w:r>
      <w:r>
        <w:rPr>
          <w:rFonts w:ascii="Times New Roman" w:hAnsi="Times New Roman" w:eastAsia="Calibri" w:cs="Times New Roman"/>
          <w:sz w:val="28"/>
          <w:szCs w:val="28"/>
        </w:rPr>
        <w:t xml:space="preserve">,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Положением </w:t>
      </w:r>
      <w:r>
        <w:rPr>
          <w:rFonts w:ascii="Times New Roman" w:hAnsi="Times New Roman" w:eastAsia="Calibri" w:cs="Times New Roman"/>
          <w:sz w:val="28"/>
          <w:szCs w:val="28"/>
        </w:rPr>
        <w:t xml:space="preserve">о</w:t>
      </w:r>
      <w:r>
        <w:rPr>
          <w:rFonts w:ascii="Times New Roman" w:hAnsi="Times New Roman" w:eastAsia="Calibri" w:cs="Times New Roman"/>
          <w:sz w:val="28"/>
          <w:szCs w:val="28"/>
        </w:rPr>
        <w:t xml:space="preserve"> комитете по сохранению культурного наследия Ленинградской области, утвержденным постановлением Правительства Ленинградской области от 24.12.2020 № 850, </w:t>
      </w:r>
      <w:r>
        <w:rPr>
          <w:rFonts w:ascii="Times New Roman" w:hAnsi="Times New Roman" w:cs="Times New Roman"/>
          <w:sz w:val="28"/>
          <w:szCs w:val="28"/>
        </w:rPr>
        <w:t xml:space="preserve">комитет по </w:t>
      </w:r>
      <w:r>
        <w:rPr>
          <w:rFonts w:ascii="Times New Roman" w:hAnsi="Times New Roman" w:eastAsia="Calibri" w:cs="Times New Roman"/>
          <w:sz w:val="28"/>
          <w:szCs w:val="28"/>
        </w:rPr>
        <w:t xml:space="preserve">сохранению культурного наследия Ленинградской области (далее – Комитет) является органом</w:t>
      </w:r>
      <w:r>
        <w:rPr>
          <w:rFonts w:ascii="Times New Roman" w:hAnsi="Times New Roman" w:eastAsia="Calibri" w:cs="Times New Roman"/>
          <w:sz w:val="28"/>
          <w:szCs w:val="28"/>
        </w:rPr>
        <w:t xml:space="preserve"> исполнительной власти Ленинградской области</w:t>
      </w:r>
      <w:r>
        <w:rPr>
          <w:rFonts w:ascii="Times New Roman" w:hAnsi="Times New Roman" w:eastAsia="Calibri" w:cs="Times New Roman"/>
          <w:sz w:val="28"/>
          <w:szCs w:val="28"/>
        </w:rPr>
        <w:t xml:space="preserve">,</w:t>
      </w:r>
      <w:r>
        <w:rPr>
          <w:rFonts w:ascii="Times New Roman" w:hAnsi="Times New Roman" w:eastAsia="Calibri" w:cs="Times New Roman"/>
          <w:sz w:val="28"/>
          <w:szCs w:val="28"/>
        </w:rPr>
        <w:t xml:space="preserve"> уполномоченным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на осуществление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регионального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государственного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контроля</w:t>
      </w:r>
      <w:r>
        <w:rPr>
          <w:rFonts w:ascii="Times New Roman" w:hAnsi="Times New Roman" w:cs="Times New Roman"/>
          <w:sz w:val="28"/>
          <w:szCs w:val="28"/>
        </w:rPr>
        <w:t xml:space="preserve"> (надзор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 состоянием Музейного фонда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(далее также – региональный государственный музейный контроль (надзор)).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Положением о региональном государственном контроле (надзоре) за состоянием Музейного фонда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утвержденным постановлением Правительства Ленинградской области </w:t>
        <w:br/>
        <w:t xml:space="preserve">от 30.09.2021 № 629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 xml:space="preserve">редметом регионального государственного музейного контроля (надзор</w:t>
      </w:r>
      <w:r>
        <w:rPr>
          <w:rFonts w:ascii="Times New Roman" w:hAnsi="Times New Roman" w:cs="Times New Roman"/>
          <w:sz w:val="28"/>
          <w:szCs w:val="28"/>
        </w:rPr>
        <w:t xml:space="preserve">а) является соблюдение государственными музеями, находящимися в ведении Ленинградской области, в собственности, оперативном управлении или пользовании которых находятся музейные предметы и музейные коллекции, включенные в состав государственной части Музей</w:t>
      </w:r>
      <w:r>
        <w:rPr>
          <w:rFonts w:ascii="Times New Roman" w:hAnsi="Times New Roman" w:cs="Times New Roman"/>
          <w:sz w:val="28"/>
          <w:szCs w:val="28"/>
        </w:rPr>
        <w:t xml:space="preserve">ного фонда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обязательных требований </w:t>
        <w:br/>
      </w:r>
      <w:r>
        <w:rPr>
          <w:rFonts w:ascii="Times New Roman" w:hAnsi="Times New Roman" w:cs="Times New Roman"/>
          <w:sz w:val="28"/>
          <w:szCs w:val="28"/>
        </w:rPr>
        <w:t xml:space="preserve">к обеспечению хранения, изучения, комплектования, учета и использования музейных предметов и музейных коллекций.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Объектами регионального государственного музейного контроля (надзора) являются деятельность, действия (бездействие) контролируемых лиц по обеспечению: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физической сохранности музейных предметов и музейных коллекций;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проведения в отношении музейных предметов и музейных коллекций реставрационных работ лицами, прошедшими в Министерстве культуры Российской Федерации аттестацию на право их проведения;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безопасности музейных предметов и музейных коллекций, включая наличие присвоенных им учетных обозначений и охранной маркировки музейных предметов и музейных коллекций;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учета музейных предметов и музейных коллекций, 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  <w:br/>
      </w:r>
      <w:r>
        <w:rPr>
          <w:rFonts w:ascii="Times New Roman" w:hAnsi="Times New Roman" w:cs="Times New Roman"/>
          <w:sz w:val="28"/>
          <w:szCs w:val="28"/>
        </w:rPr>
        <w:t xml:space="preserve">и сохранности учетной документации, связанной с этими музейными предметами и музейными коллекциями.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Комитет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обеспечива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ет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учет объектов регионального государственного музейного контроля (надзора) путем ведения перечня объектов контроля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Государственный учет музейных предметов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музейных коллекций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обеспечивается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 помощью Государственного каталога Музейного фонда Российской Федерации.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Комитет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осуществляет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региональный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государственный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музейный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контроль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(надзор)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 отношении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деятельности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6 государственных музеев – юридических лиц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Государственное бюджетное учреждение культуры Ленинградск</w:t>
      </w:r>
      <w:r>
        <w:rPr>
          <w:rFonts w:ascii="Times New Roman" w:hAnsi="Times New Roman" w:cs="Times New Roman"/>
          <w:sz w:val="28"/>
          <w:szCs w:val="28"/>
        </w:rPr>
        <w:t xml:space="preserve">ой области «Музейное агентство»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Государственное бюджетное учреждение культуры Ленинградской области «Выборгский</w:t>
      </w:r>
      <w:r>
        <w:rPr>
          <w:rFonts w:ascii="Times New Roman" w:hAnsi="Times New Roman" w:cs="Times New Roman"/>
          <w:sz w:val="28"/>
          <w:szCs w:val="28"/>
        </w:rPr>
        <w:t xml:space="preserve"> объединенный музей-заповедник»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Государственное бюджетное учреждение культуры Ленинградской области «Музейно-мемориальный комплекс «Дорога жизни»;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Государственное бюджетное учреждение культуры Ленинградской области «Выставочный центр «Эрмитаж-Выборг»;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Государственное бюджетное учреждение культуры Ленинградской области «Староладожский историко-архитектурный и археологический музей-заповедник»;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Государственное бюджетное учреждение культуры Ленинградской области «Государственный историко-архитектурный и природный музей-заповедник «Парк Монрепо».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Региональный государственный музейный контроль (надзор)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в целях предупреждения, выявления и пресечения нарушений</w:t>
      </w:r>
      <w:r>
        <w:rPr>
          <w:rFonts w:ascii="Times New Roman" w:hAnsi="Times New Roman" w:cs="Times New Roman"/>
          <w:sz w:val="28"/>
          <w:szCs w:val="28"/>
        </w:rPr>
        <w:t xml:space="preserve"> контролируемыми лицами</w:t>
      </w:r>
      <w:r>
        <w:rPr>
          <w:rFonts w:ascii="Times New Roman" w:hAnsi="Times New Roman" w:cs="Times New Roman"/>
          <w:sz w:val="28"/>
          <w:szCs w:val="28"/>
        </w:rPr>
        <w:t xml:space="preserve"> обязательных требований.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Реализация полномочий Комитета в сфере контрольной (надзорной) деятельности осуществляется при соблюдении основных принципов государственного контроля (надзора)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законности и обоснованности действий и решений</w:t>
      </w:r>
      <w:r>
        <w:rPr>
          <w:rFonts w:ascii="Times New Roman" w:hAnsi="Times New Roman" w:cs="Times New Roman"/>
          <w:sz w:val="28"/>
          <w:szCs w:val="28"/>
        </w:rPr>
        <w:t xml:space="preserve"> контрольного (надзорного) органа и его должностных</w:t>
      </w:r>
      <w:r>
        <w:rPr>
          <w:rFonts w:ascii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стимулирования</w:t>
      </w:r>
      <w:r>
        <w:rPr>
          <w:rFonts w:ascii="Times New Roman" w:hAnsi="Times New Roman" w:cs="Times New Roman"/>
          <w:sz w:val="28"/>
          <w:szCs w:val="28"/>
        </w:rPr>
        <w:t xml:space="preserve"> добросовестного соблюдения</w:t>
      </w:r>
      <w:r>
        <w:rPr>
          <w:rFonts w:ascii="Times New Roman" w:hAnsi="Times New Roman" w:cs="Times New Roman"/>
          <w:sz w:val="28"/>
          <w:szCs w:val="28"/>
        </w:rPr>
        <w:t xml:space="preserve"> контролируемыми лицами</w:t>
      </w:r>
      <w:r>
        <w:rPr>
          <w:rFonts w:ascii="Times New Roman" w:hAnsi="Times New Roman" w:cs="Times New Roman"/>
          <w:sz w:val="28"/>
          <w:szCs w:val="28"/>
        </w:rPr>
        <w:t xml:space="preserve"> обязательных требований;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соразмерности</w:t>
      </w:r>
      <w:r>
        <w:rPr>
          <w:rFonts w:ascii="Times New Roman" w:hAnsi="Times New Roman" w:cs="Times New Roman"/>
          <w:sz w:val="28"/>
          <w:szCs w:val="28"/>
        </w:rPr>
        <w:t xml:space="preserve"> вмешательства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контрольного (надзорного) органа </w:t>
        <w:br/>
      </w:r>
      <w:r>
        <w:rPr>
          <w:rFonts w:ascii="Times New Roman" w:hAnsi="Times New Roman" w:cs="Times New Roman"/>
          <w:sz w:val="28"/>
          <w:szCs w:val="28"/>
        </w:rPr>
        <w:t xml:space="preserve">и его должностных лиц в деятельность контролируемых лиц;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охране</w:t>
      </w:r>
      <w:r>
        <w:rPr>
          <w:rFonts w:ascii="Times New Roman" w:hAnsi="Times New Roman" w:cs="Times New Roman"/>
          <w:sz w:val="28"/>
          <w:szCs w:val="28"/>
        </w:rPr>
        <w:t xml:space="preserve"> прав и законных интересов, уважению достоинства личности, деловой репутации контролируемых лиц;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недопустимости</w:t>
      </w:r>
      <w:r>
        <w:rPr>
          <w:rFonts w:ascii="Times New Roman" w:hAnsi="Times New Roman" w:cs="Times New Roman"/>
          <w:sz w:val="28"/>
          <w:szCs w:val="28"/>
        </w:rPr>
        <w:t xml:space="preserve"> злоупотребления правом</w:t>
      </w:r>
      <w:r>
        <w:rPr>
          <w:rFonts w:ascii="Times New Roman" w:hAnsi="Times New Roman" w:cs="Times New Roman"/>
          <w:sz w:val="28"/>
          <w:szCs w:val="28"/>
        </w:rPr>
        <w:t xml:space="preserve"> как со стороны </w:t>
      </w:r>
      <w:r>
        <w:rPr>
          <w:rFonts w:ascii="Times New Roman" w:hAnsi="Times New Roman" w:cs="Times New Roman"/>
          <w:sz w:val="28"/>
          <w:szCs w:val="28"/>
        </w:rPr>
        <w:t xml:space="preserve">контрольного (надзорного) органа и его должностных лиц,</w:t>
      </w:r>
      <w:r>
        <w:rPr>
          <w:rFonts w:ascii="Times New Roman" w:hAnsi="Times New Roman" w:cs="Times New Roman"/>
          <w:sz w:val="28"/>
          <w:szCs w:val="28"/>
        </w:rPr>
        <w:t xml:space="preserve"> так и со стороны граждан </w:t>
        <w:br/>
        <w:t xml:space="preserve">и организаций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соблюдении</w:t>
      </w:r>
      <w:r>
        <w:rPr>
          <w:rFonts w:ascii="Times New Roman" w:hAnsi="Times New Roman" w:cs="Times New Roman"/>
          <w:sz w:val="28"/>
          <w:szCs w:val="28"/>
        </w:rPr>
        <w:t xml:space="preserve"> охраняемой законом тайны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открытости и доступности</w:t>
      </w:r>
      <w:r>
        <w:rPr>
          <w:rFonts w:ascii="Times New Roman" w:hAnsi="Times New Roman" w:cs="Times New Roman"/>
          <w:sz w:val="28"/>
          <w:szCs w:val="28"/>
        </w:rPr>
        <w:t xml:space="preserve"> информации об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  <w:br/>
      </w:r>
      <w:r>
        <w:rPr>
          <w:rFonts w:ascii="Times New Roman" w:hAnsi="Times New Roman" w:cs="Times New Roman"/>
          <w:sz w:val="28"/>
          <w:szCs w:val="28"/>
        </w:rPr>
        <w:t xml:space="preserve">и осуществлении государственного контроля (надзора);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оперативности</w:t>
      </w:r>
      <w:r>
        <w:rPr>
          <w:rFonts w:ascii="Times New Roman" w:hAnsi="Times New Roman" w:cs="Times New Roman"/>
          <w:sz w:val="28"/>
          <w:szCs w:val="28"/>
        </w:rPr>
        <w:t xml:space="preserve"> при осуществлении государственного контроля (надзора)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бобщение правоприменительной практики проводится для решения следующих задач: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обеспечение единообразных подходов к применению </w:t>
      </w:r>
      <w:r>
        <w:rPr>
          <w:rFonts w:ascii="Times New Roman" w:hAnsi="Times New Roman" w:cs="Times New Roman"/>
          <w:sz w:val="28"/>
          <w:szCs w:val="28"/>
        </w:rPr>
        <w:t xml:space="preserve">Комитетом </w:t>
        <w:br/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 его должностными лицами обязательных требований, законодательства Российской Федерации о </w:t>
      </w:r>
      <w:r>
        <w:rPr>
          <w:rFonts w:ascii="Times New Roman" w:hAnsi="Times New Roman" w:cs="Times New Roman"/>
          <w:sz w:val="28"/>
          <w:szCs w:val="28"/>
        </w:rPr>
        <w:t xml:space="preserve">региональном государственном музейном контроле</w:t>
      </w:r>
      <w:r>
        <w:rPr>
          <w:rFonts w:ascii="Times New Roman" w:hAnsi="Times New Roman" w:cs="Times New Roman"/>
          <w:sz w:val="28"/>
          <w:szCs w:val="28"/>
        </w:rPr>
        <w:t xml:space="preserve"> (надзор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выявление типичных нарушений обязательных требований, причин, факторов и условий, способствующих возникновению указанных нарушений;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анализ случаев причинения вреда (ущерба) охраняемым законом ценностям, выявление источников и факторов риска причинения вреда (ущерба)</w:t>
      </w:r>
      <w:r>
        <w:rPr>
          <w:rFonts w:ascii="Times New Roman" w:hAnsi="Times New Roman" w:cs="Times New Roman"/>
          <w:sz w:val="28"/>
          <w:szCs w:val="28"/>
        </w:rPr>
        <w:t xml:space="preserve"> охраняемым законом ценностям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подготовка предложений об актуализации обязательных требований;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подготовка предложений </w:t>
      </w: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совершенствованию законодательства </w:t>
        <w:br/>
        <w:t xml:space="preserve">в сфере осуществления регионального государственного музейного контроля</w:t>
      </w:r>
      <w:r>
        <w:rPr>
          <w:rFonts w:ascii="Times New Roman" w:hAnsi="Times New Roman" w:cs="Times New Roman"/>
          <w:sz w:val="28"/>
          <w:szCs w:val="28"/>
        </w:rPr>
        <w:t xml:space="preserve"> (надзор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Единообразность применения обязательных требований основана </w:t>
        <w:br/>
        <w:t xml:space="preserve">на транспарентности деятельности Комитета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обеспечена путем размещения на официальном сайте Комитета </w:t>
      </w:r>
      <w:r>
        <w:rPr>
          <w:rFonts w:ascii="Times New Roman" w:hAnsi="Times New Roman" w:cs="Times New Roman"/>
          <w:sz w:val="28"/>
          <w:szCs w:val="28"/>
        </w:rPr>
        <w:t xml:space="preserve">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регионального государственного музейного контроля (надзора)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нормативным правовым актам, содержащим обязательные требования, соблюдение которых оценивается при осуществлении регионального государственного музейного контроля (надзора),</w:t>
      </w:r>
      <w:r>
        <w:rPr>
          <w:rFonts w:ascii="Times New Roman" w:hAnsi="Times New Roman" w:cs="Times New Roman"/>
          <w:sz w:val="28"/>
          <w:szCs w:val="28"/>
        </w:rPr>
        <w:t xml:space="preserve"> относятся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. Федеральный закон от 26.05.1996 № 54-ФЗ «О Музейном фонде Российской Федерации и музеях в Российской</w:t>
      </w:r>
      <w:r>
        <w:rPr>
          <w:rFonts w:ascii="Times New Roman" w:hAnsi="Times New Roman" w:cs="Times New Roman"/>
          <w:sz w:val="28"/>
          <w:szCs w:val="28"/>
        </w:rPr>
        <w:t xml:space="preserve"> Федерации»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. Постановление Правительства Российской Федерации от 10.08.2017 № 960 «Об утверждении Положения о передаче музейных предметов </w:t>
        <w:br/>
      </w:r>
      <w:r>
        <w:rPr>
          <w:rFonts w:ascii="Times New Roman" w:hAnsi="Times New Roman" w:cs="Times New Roman"/>
          <w:sz w:val="28"/>
          <w:szCs w:val="28"/>
        </w:rPr>
        <w:t xml:space="preserve">и музейных коллекций, включенных в состав государственной части Музейного фонда Российской Федерации и находящихся в государственной собственности, в безвозмездное пользование государственным </w:t>
        <w:br/>
        <w:t xml:space="preserve">и муниципальны</w:t>
      </w:r>
      <w:r>
        <w:rPr>
          <w:rFonts w:ascii="Times New Roman" w:hAnsi="Times New Roman" w:cs="Times New Roman"/>
          <w:sz w:val="28"/>
          <w:szCs w:val="28"/>
        </w:rPr>
        <w:t xml:space="preserve">м музеям и другим организациям»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 Приказ Министерства культуры Российской Федерации от 23.07.2020 № 827 «Об утверждении Единых правил организации </w:t>
      </w:r>
      <w:r>
        <w:rPr>
          <w:rFonts w:ascii="Times New Roman" w:hAnsi="Times New Roman" w:cs="Times New Roman"/>
          <w:sz w:val="28"/>
          <w:szCs w:val="28"/>
        </w:rPr>
        <w:t xml:space="preserve">комплектования, учета, хранения и использования музейных предметов и музейных коллекций»;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 Приказ Министерства культуры Российской Федерации от 15.01.2019 № 17 «Об утверждении Положения о Музейном фонде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</w:t>
      </w:r>
      <w:r>
        <w:rPr>
          <w:rFonts w:ascii="Times New Roman" w:hAnsi="Times New Roman" w:cs="Times New Roman"/>
          <w:sz w:val="28"/>
          <w:szCs w:val="28"/>
        </w:rPr>
        <w:t xml:space="preserve">. Приказ Министерства культуры Российской Федерации от 01.12.2017 № 2012 «Об утверждении Положения о Государственном каталоге Музейного фонда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. Приказ Министерства культуры Российской Федерации от 29.04.2020 № 492 «Об утверж</w:t>
      </w:r>
      <w:r>
        <w:rPr>
          <w:rFonts w:ascii="Times New Roman" w:hAnsi="Times New Roman" w:cs="Times New Roman"/>
          <w:sz w:val="28"/>
          <w:szCs w:val="28"/>
        </w:rPr>
        <w:t xml:space="preserve">дении формы договора о передаче музеям и другим организациям в безвозмездное пользование музейных предметов и музейных коллекций, находящихся в федеральной собственности и включенных в состав Музейног</w:t>
      </w:r>
      <w:r>
        <w:rPr>
          <w:rFonts w:ascii="Times New Roman" w:hAnsi="Times New Roman" w:cs="Times New Roman"/>
          <w:sz w:val="28"/>
          <w:szCs w:val="28"/>
        </w:rPr>
        <w:t xml:space="preserve">о фонда Российской Федерации в соответствии с частью 2 статьи 2 Федерального закона от 03.07.2016 № 357-ФЗ «О внесении изменений </w:t>
        <w:br/>
        <w:t xml:space="preserve">в Федеральный закон «О Музейном фонде Российской Федерации и музеях </w:t>
        <w:br/>
        <w:t xml:space="preserve">в Российской Федерации».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</w:t>
      </w:r>
      <w:r>
        <w:rPr>
          <w:rFonts w:ascii="Times New Roman" w:hAnsi="Times New Roman" w:cs="Times New Roman"/>
          <w:sz w:val="28"/>
          <w:szCs w:val="28"/>
        </w:rPr>
        <w:t xml:space="preserve">. Приказ Министерства культуры Российской Федерации от 10.06.2022 № 964 «Об утверждении форм договоров о передаче музейных предметов </w:t>
        <w:br/>
        <w:t xml:space="preserve">и музейных колле</w:t>
      </w:r>
      <w:r>
        <w:rPr>
          <w:rFonts w:ascii="Times New Roman" w:hAnsi="Times New Roman" w:cs="Times New Roman"/>
          <w:sz w:val="28"/>
          <w:szCs w:val="28"/>
        </w:rPr>
        <w:t xml:space="preserve">кций, включенных в состав государственной части Музейного фонда Российской Федерации и находящихся в государственной собственности, в безвозмездное пользование государственным </w:t>
        <w:br/>
        <w:t xml:space="preserve">и муниципальным музеям и другим организациям».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Проведение профилактических мероприятий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направленных </w:t>
        <w:br/>
        <w:t xml:space="preserve">на снижение риска причинения вреда (ущерба) охраняемым законом ценностям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является приоритетным по отношению к проведению контрольных (надзорных) мероприятий.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осуществлении регионального государственного музейного контроля (надзора) применяется система оценки и управления рисками причинения вреда (ущерба) охраняемым законом ценностям.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Комитет при осуществлении регионального государственного музейного контроля (надзора) относит объекты контроля к одной </w:t>
        <w:br/>
      </w:r>
      <w:r>
        <w:rPr>
          <w:rFonts w:ascii="Times New Roman" w:hAnsi="Times New Roman" w:cs="Times New Roman"/>
          <w:sz w:val="28"/>
          <w:szCs w:val="28"/>
        </w:rPr>
        <w:t xml:space="preserve">из следующих категорий риска причинения вреда (ущерба) охраняемым законом ценностям (далее - категории риска):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высокий риск;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средний риск;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низкий риск.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center"/>
        <w:spacing w:after="0" w:line="240" w:lineRule="auto"/>
        <w:shd w:val="clear" w:color="auto" w:fill="ffffff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Осуществление регионального государственного контроля (надзора) за состоянием Музейного фонда Российской Федерации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8"/>
        <w:jc w:val="center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2025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году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Комите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проводил плановые контрольные (надзорные) мероприятия </w:t>
      </w:r>
      <w:r>
        <w:rPr>
          <w:rFonts w:ascii="Times New Roman" w:hAnsi="Times New Roman" w:cs="Times New Roman"/>
          <w:sz w:val="28"/>
          <w:szCs w:val="28"/>
        </w:rPr>
        <w:t xml:space="preserve">в отношении государственных музеев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подведомственных Комитету.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Обращений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заявлений граждан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юридических лиц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информации </w:t>
        <w:br/>
        <w:t xml:space="preserve">от органов государственной власти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</w:t>
        <w:br/>
        <w:t xml:space="preserve">из средств массовой информации о фактах нарушений обязательных требований в Комитет не поступало, </w:t>
      </w:r>
      <w:r>
        <w:rPr>
          <w:rFonts w:ascii="Times New Roman" w:hAnsi="Times New Roman" w:cs="Times New Roman"/>
          <w:sz w:val="28"/>
          <w:szCs w:val="28"/>
        </w:rPr>
        <w:t xml:space="preserve">в связи с чем внеплановые контрольные (надзорные) мероприятия не проводились.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Случаев причинения вреда (ущерба) охраняемым законом ценностям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выявление источников и факторов риска причинения вреда (ущерба) охраняемым законом ценностям не зафиксировано.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left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center"/>
        <w:spacing w:after="0" w:line="240" w:lineRule="auto"/>
        <w:shd w:val="clear" w:color="auto" w:fill="ffffff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Профилактика рисков причинения вреда (ущерба) охраняемым законом ценностям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В 2025 году Комитетом осуществлялась профилактика рисков причинения вреда (ущерба) охраняемым законом ценностям в соответствии </w:t>
        <w:br/>
      </w:r>
      <w:r>
        <w:rPr>
          <w:rFonts w:ascii="Times New Roman" w:hAnsi="Times New Roman" w:cs="Times New Roman"/>
          <w:sz w:val="28"/>
          <w:szCs w:val="28"/>
        </w:rPr>
        <w:t xml:space="preserve">с Программой профилактики рисков причинения вреда (ущерба) охраняемым законом ценностям при осуществлении </w:t>
      </w:r>
      <w:r>
        <w:rPr>
          <w:rFonts w:ascii="Times New Roman" w:hAnsi="Times New Roman" w:cs="Times New Roman"/>
          <w:sz w:val="28"/>
          <w:szCs w:val="28"/>
        </w:rPr>
        <w:t xml:space="preserve">регионального государственного контроля (надзора) за состоянием Музейного фонда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н</w:t>
      </w:r>
      <w:r>
        <w:rPr>
          <w:rFonts w:ascii="Times New Roman" w:hAnsi="Times New Roman" w:cs="Times New Roman"/>
          <w:sz w:val="28"/>
          <w:szCs w:val="28"/>
        </w:rPr>
        <w:t xml:space="preserve">а 2025 год</w:t>
      </w:r>
      <w:r>
        <w:rPr>
          <w:rFonts w:ascii="Times New Roman" w:hAnsi="Times New Roman" w:cs="Times New Roman"/>
          <w:sz w:val="28"/>
          <w:szCs w:val="28"/>
        </w:rPr>
        <w:t xml:space="preserve">, утвержденной </w:t>
      </w:r>
      <w:r>
        <w:rPr>
          <w:rFonts w:ascii="Times New Roman" w:hAnsi="Times New Roman" w:cs="Times New Roman"/>
          <w:sz w:val="28"/>
          <w:szCs w:val="28"/>
        </w:rPr>
      </w:r>
      <w:commentRangeStart w:id="0"/>
      <w:r>
        <w:rPr>
          <w:rFonts w:ascii="Times New Roman" w:hAnsi="Times New Roman" w:cs="Times New Roman"/>
          <w:sz w:val="28"/>
          <w:szCs w:val="28"/>
        </w:rPr>
        <w:t xml:space="preserve">приказом Комитета от 18.12.2024 № 01-03/24-148</w:t>
      </w:r>
      <w:commentRangeEnd w:id="0"/>
      <w:r>
        <w:commentReference w:id="0"/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предотвращения </w:t>
      </w:r>
      <w:r>
        <w:rPr>
          <w:rFonts w:ascii="Times New Roman" w:hAnsi="Times New Roman" w:cs="Times New Roman"/>
          <w:sz w:val="28"/>
          <w:szCs w:val="28"/>
        </w:rPr>
        <w:t xml:space="preserve">рисков причинения вреда (ущерба) охраняемым законом ценностей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предупреждения нарушений обязательных требований в 2025 году Комитетом проведены следующие профилактические мероприятия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информирование;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обобщение правоприменительной практики;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консультирование.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Информирование контролируемых лиц и иных заинтересованных </w:t>
        <w:br/>
        <w:t xml:space="preserve">лиц по вопросам соблюдения обязат</w:t>
      </w:r>
      <w:r>
        <w:rPr>
          <w:rFonts w:ascii="Times New Roman" w:hAnsi="Times New Roman" w:cs="Times New Roman"/>
          <w:sz w:val="28"/>
          <w:szCs w:val="28"/>
        </w:rPr>
        <w:t xml:space="preserve">ельных требований осуществлялось</w:t>
      </w:r>
      <w:r>
        <w:rPr>
          <w:rFonts w:ascii="Times New Roman" w:hAnsi="Times New Roman" w:cs="Times New Roman"/>
          <w:sz w:val="28"/>
          <w:szCs w:val="28"/>
        </w:rPr>
        <w:t xml:space="preserve"> посредством размещения соответствующих сведений на сайте </w:t>
      </w:r>
      <w:r>
        <w:rPr>
          <w:rFonts w:ascii="Times New Roman" w:hAnsi="Times New Roman" w:cs="Times New Roman"/>
          <w:sz w:val="28"/>
          <w:szCs w:val="28"/>
        </w:rPr>
        <w:t xml:space="preserve">К</w:t>
      </w:r>
      <w:r>
        <w:rPr>
          <w:rFonts w:ascii="Times New Roman" w:hAnsi="Times New Roman" w:cs="Times New Roman"/>
          <w:sz w:val="28"/>
          <w:szCs w:val="28"/>
        </w:rPr>
        <w:t xml:space="preserve">омитета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Консультирование </w:t>
      </w:r>
      <w:r>
        <w:rPr>
          <w:rFonts w:ascii="Times New Roman" w:hAnsi="Times New Roman" w:cs="Times New Roman"/>
          <w:sz w:val="28"/>
          <w:szCs w:val="28"/>
        </w:rPr>
        <w:t xml:space="preserve">осуществлялось</w:t>
      </w:r>
      <w:r>
        <w:rPr>
          <w:rFonts w:ascii="Times New Roman" w:hAnsi="Times New Roman" w:cs="Times New Roman"/>
          <w:sz w:val="28"/>
          <w:szCs w:val="28"/>
        </w:rPr>
        <w:t xml:space="preserve"> по телефону, посредством видео-ко</w:t>
      </w:r>
      <w:r>
        <w:rPr>
          <w:rFonts w:ascii="Times New Roman" w:hAnsi="Times New Roman" w:cs="Times New Roman"/>
          <w:sz w:val="28"/>
          <w:szCs w:val="28"/>
        </w:rPr>
        <w:t xml:space="preserve">нференц-связи, на личном приеме </w:t>
      </w:r>
      <w:r>
        <w:rPr>
          <w:rFonts w:ascii="Times New Roman" w:hAnsi="Times New Roman" w:cs="Times New Roman"/>
          <w:sz w:val="28"/>
          <w:szCs w:val="28"/>
        </w:rPr>
        <w:t xml:space="preserve">по следующим вопросам: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наличие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(или) содержание обязательных требований;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периодичность и порядок проведения контрольных (надзорных) мероприятий;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порядок выполнения обязательных требований;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порядок исполнения предписания, выданного по результатам контрольного (надзорного) мероприятия.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проведения профилактических мероприятий</w:t>
      </w:r>
      <w:r>
        <w:rPr>
          <w:rFonts w:ascii="Times New Roman" w:hAnsi="Times New Roman" w:cs="Times New Roman"/>
          <w:sz w:val="28"/>
          <w:szCs w:val="28"/>
        </w:rPr>
        <w:t xml:space="preserve"> контролируем</w:t>
      </w:r>
      <w:r>
        <w:rPr>
          <w:rFonts w:ascii="Times New Roman" w:hAnsi="Times New Roman" w:cs="Times New Roman"/>
          <w:sz w:val="28"/>
          <w:szCs w:val="28"/>
        </w:rPr>
        <w:t xml:space="preserve">ые</w:t>
      </w:r>
      <w:r>
        <w:rPr>
          <w:rFonts w:ascii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были проинформированы</w:t>
      </w:r>
      <w:r>
        <w:rPr>
          <w:rFonts w:ascii="Times New Roman" w:hAnsi="Times New Roman" w:cs="Times New Roman"/>
          <w:sz w:val="28"/>
          <w:szCs w:val="28"/>
        </w:rPr>
        <w:t xml:space="preserve"> об обязательных требованиях, предъявляемых </w:t>
        <w:br/>
      </w:r>
      <w:r>
        <w:rPr>
          <w:rFonts w:ascii="Times New Roman" w:hAnsi="Times New Roman" w:cs="Times New Roman"/>
          <w:sz w:val="28"/>
          <w:szCs w:val="28"/>
        </w:rPr>
        <w:t xml:space="preserve">к обеспечению физической сохранности музейных предметов и музейных</w:t>
      </w:r>
      <w:r>
        <w:rPr>
          <w:rFonts w:ascii="Times New Roman" w:hAnsi="Times New Roman" w:cs="Times New Roman"/>
          <w:sz w:val="28"/>
          <w:szCs w:val="28"/>
        </w:rPr>
        <w:t xml:space="preserve"> коллекций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(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требования к размещению музейных предметов, оснащению различных групп музейных предметов (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живопись, графика, ткани, естественно-научные коллекции),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созданию и поддержанию определенного уровня температурно-влажностного, светового и санитарно-гигиенического режимов в зданиях и помещениях музея с учетом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рекомендуемой классификацией предметов искусства в зависимости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от их чувствительности к относительной влажности воздуха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выполнению мероприятий по защите предметов от биоповреждений, обеспечению безопасности при воздействии шума на музейные предметы, регламентации доступа к музейным предметам, требования к крышам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 водостокам музей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ного здания, к влажности </w:t>
        <w:br/>
        <w:t xml:space="preserve">в подвальных помещениях музея, требования к обеспечению регулярной качественной уборки помещений и их </w:t>
      </w:r>
      <w:r>
        <w:rPr>
          <w:rFonts w:ascii="Times New Roman" w:hAnsi="Times New Roman" w:cs="Times New Roman"/>
          <w:sz w:val="28"/>
          <w:szCs w:val="28"/>
        </w:rPr>
        <w:t xml:space="preserve">осмотров, требования к у</w:t>
      </w:r>
      <w:r>
        <w:rPr>
          <w:rFonts w:ascii="Times New Roman" w:hAnsi="Times New Roman" w:cs="Times New Roman"/>
          <w:sz w:val="28"/>
          <w:szCs w:val="28"/>
        </w:rPr>
        <w:t xml:space="preserve">паковке </w:t>
        <w:br/>
        <w:t xml:space="preserve">и транспортировке музейных предметов (использование специальных упаковочных материалов и контейнеров, защищающих от повреждений, пыли, влаги и иных внешних воздействий</w:t>
      </w:r>
      <w:r>
        <w:rPr>
          <w:rFonts w:ascii="Times New Roman" w:hAnsi="Times New Roman" w:cs="Times New Roman"/>
          <w:sz w:val="28"/>
          <w:szCs w:val="28"/>
        </w:rPr>
        <w:t xml:space="preserve">). Особое внимание было уделено анализу обязательных требований, которые предъявляются к хранению произведений живописи.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Фактов поступления жалоб от контролируемых лиц на нарушения </w:t>
        <w:br/>
        <w:t xml:space="preserve">их прав, злоупотреблений правом, разглашения информации, составляющей коммерческую, служебную или иную охраняемую законом тайну, </w:t>
        <w:br/>
        <w:t xml:space="preserve">не зафиксировано.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Комитетом в 2025 году проведено 211</w:t>
      </w:r>
      <w:r>
        <w:rPr>
          <w:rFonts w:ascii="Times New Roman" w:hAnsi="Times New Roman" w:cs="Times New Roman"/>
          <w:sz w:val="28"/>
          <w:szCs w:val="28"/>
          <w:highlight w:val="gree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профилактических мероприятий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в том числе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</w:rPr>
        <w:t xml:space="preserve">- информирование (количество фактов размещения информации </w:t>
        <w:br/>
        <w:t xml:space="preserve">на официальном сайте Комитета) –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2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обобщение правоприменительной практики –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1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консультирование – 208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3"/>
        <w:contextualSpacing/>
        <w:ind w:firstLine="708"/>
        <w:jc w:val="center"/>
        <w:spacing w:before="12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Заключение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43"/>
        <w:contextualSpacing/>
        <w:ind w:firstLine="708"/>
        <w:jc w:val="center"/>
        <w:spacing w:before="12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43"/>
        <w:contextualSpacing/>
        <w:ind w:firstLine="708"/>
        <w:jc w:val="both"/>
        <w:spacing w:before="12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Факты причинения вреда (ущерба) музейным предметам и музейным коллекциям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включенным в состав Музейного фонда Российской Федерации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в 2025 году в государственных музеях Ленинградской области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подведомственных Комитету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не выявлены.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3"/>
        <w:contextualSpacing/>
        <w:ind w:firstLine="708"/>
        <w:jc w:val="both"/>
        <w:spacing w:before="120" w:beforeAutospacing="0" w:after="0" w:afterAutospacing="0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Необходимо отметить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что наиболее частыми нарушениями обязательных требований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зафиксированными в музеях Российской Федерации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являются невнесение музеями необходимых сведений в реестр музеев</w:t>
      </w:r>
      <w:r>
        <w:rPr>
          <w:sz w:val="28"/>
          <w:szCs w:val="28"/>
        </w:rPr>
        <w:t xml:space="preserve"> и реестр музейных предметов Государственного каталога Музейного фонда Российской Федерации и несоблюдение музеями требований </w:t>
        <w:br/>
        <w:t xml:space="preserve">к условиям хранения и обеспечению сохранности музейных предметов </w:t>
        <w:br/>
        <w:t xml:space="preserve">и музейных коллекций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предусмотренных статьей 5 Федерального</w:t>
      </w:r>
      <w:r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а </w:t>
        <w:br/>
      </w:r>
      <w:r>
        <w:rPr>
          <w:sz w:val="28"/>
          <w:szCs w:val="28"/>
        </w:rPr>
        <w:t xml:space="preserve">№ 54-ФЗ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43"/>
        <w:contextualSpacing/>
        <w:ind w:firstLine="708"/>
        <w:jc w:val="both"/>
        <w:spacing w:before="120" w:beforeAutospacing="0" w:after="0" w:afterAutospacing="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  <w:t xml:space="preserve">В ходе анализа правоприменительной практики контрольной (надзорной) деятельности устаревших, дублирующих и избыточных обязательных требований не выявлено.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dp_yakushina" w:date="2026-10-22T14:12:18Z" w:initials="d">
    <w:p w14:paraId="00000001" w14:textId="00000001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приказом?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000001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72593C45" w16cex:dateUtc="2026-10-22T11:12:18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72593C4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60" w:hanging="78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0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dp_yakushina">
    <w15:presenceInfo w15:providerId="Teamlab" w15:userId="dp_yakushin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9">
    <w:name w:val="Heading 1"/>
    <w:basedOn w:val="830"/>
    <w:next w:val="830"/>
    <w:link w:val="660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60">
    <w:name w:val="Heading 1 Char"/>
    <w:basedOn w:val="834"/>
    <w:link w:val="659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61">
    <w:name w:val="Heading 2 Char"/>
    <w:basedOn w:val="834"/>
    <w:link w:val="831"/>
    <w:uiPriority w:val="9"/>
    <w:rPr>
      <w:rFonts w:ascii="Liberation Sans" w:hAnsi="Liberation Sans" w:eastAsia="Liberation Sans" w:cs="Liberation Sans"/>
      <w:sz w:val="34"/>
    </w:rPr>
  </w:style>
  <w:style w:type="character" w:styleId="662">
    <w:name w:val="Heading 3 Char"/>
    <w:basedOn w:val="834"/>
    <w:link w:val="832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63">
    <w:name w:val="Heading 4 Char"/>
    <w:basedOn w:val="834"/>
    <w:link w:val="833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4">
    <w:name w:val="Heading 5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5">
    <w:name w:val="Heading 5 Char"/>
    <w:basedOn w:val="834"/>
    <w:link w:val="664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6">
    <w:name w:val="Heading 6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7">
    <w:name w:val="Heading 6 Char"/>
    <w:basedOn w:val="834"/>
    <w:link w:val="666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8">
    <w:name w:val="Heading 7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9">
    <w:name w:val="Heading 7 Char"/>
    <w:basedOn w:val="834"/>
    <w:link w:val="668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70">
    <w:name w:val="Heading 8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1">
    <w:name w:val="Heading 8 Char"/>
    <w:basedOn w:val="834"/>
    <w:link w:val="670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2">
    <w:name w:val="Heading 9"/>
    <w:basedOn w:val="830"/>
    <w:next w:val="830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3">
    <w:name w:val="Heading 9 Char"/>
    <w:basedOn w:val="834"/>
    <w:link w:val="672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0"/>
    <w:next w:val="830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4"/>
    <w:link w:val="675"/>
    <w:uiPriority w:val="10"/>
    <w:rPr>
      <w:sz w:val="48"/>
      <w:szCs w:val="48"/>
    </w:rPr>
  </w:style>
  <w:style w:type="paragraph" w:styleId="677">
    <w:name w:val="Subtitle"/>
    <w:basedOn w:val="830"/>
    <w:next w:val="830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4"/>
    <w:link w:val="677"/>
    <w:uiPriority w:val="11"/>
    <w:rPr>
      <w:sz w:val="24"/>
      <w:szCs w:val="24"/>
    </w:rPr>
  </w:style>
  <w:style w:type="paragraph" w:styleId="679">
    <w:name w:val="Quote"/>
    <w:basedOn w:val="830"/>
    <w:next w:val="830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0"/>
    <w:next w:val="830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0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4"/>
    <w:link w:val="683"/>
    <w:uiPriority w:val="99"/>
  </w:style>
  <w:style w:type="paragraph" w:styleId="685">
    <w:name w:val="Footer"/>
    <w:basedOn w:val="830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4"/>
    <w:link w:val="685"/>
    <w:uiPriority w:val="99"/>
  </w:style>
  <w:style w:type="paragraph" w:styleId="687">
    <w:name w:val="Caption"/>
    <w:basedOn w:val="830"/>
    <w:next w:val="830"/>
    <w:link w:val="6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834"/>
    <w:link w:val="687"/>
    <w:uiPriority w:val="35"/>
    <w:rPr>
      <w:b/>
      <w:bCs/>
      <w:color w:val="4f81bd" w:themeColor="accent1"/>
      <w:sz w:val="18"/>
      <w:szCs w:val="18"/>
    </w:rPr>
  </w:style>
  <w:style w:type="table" w:styleId="689">
    <w:name w:val="Table Grid"/>
    <w:basedOn w:val="83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Table Grid Light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2">
    <w:name w:val="Plain Table 2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3">
    <w:name w:val="Plain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1">
    <w:name w:val="Grid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2">
    <w:name w:val="Grid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3">
    <w:name w:val="Grid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4">
    <w:name w:val="Grid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5">
    <w:name w:val="Grid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6">
    <w:name w:val="Grid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7">
    <w:name w:val="Grid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8">
    <w:name w:val="Grid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9">
    <w:name w:val="List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0">
    <w:name w:val="List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8">
    <w:name w:val="List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789">
    <w:name w:val="List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790">
    <w:name w:val="List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791">
    <w:name w:val="List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792">
    <w:name w:val="List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793">
    <w:name w:val="List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794">
    <w:name w:val="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6">
    <w:name w:val="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7">
    <w:name w:val="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8">
    <w:name w:val="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9">
    <w:name w:val="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0">
    <w:name w:val="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1">
    <w:name w:val="Bordered &amp; 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Bordered &amp; 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3">
    <w:name w:val="Bordered &amp; 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4">
    <w:name w:val="Bordered &amp; 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5">
    <w:name w:val="Bordered &amp; 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6">
    <w:name w:val="Bordered &amp; 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7">
    <w:name w:val="Bordered &amp; 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8">
    <w:name w:val="Bordered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5">
    <w:name w:val="Footnote Text Char"/>
    <w:link w:val="848"/>
    <w:uiPriority w:val="99"/>
    <w:rPr>
      <w:sz w:val="18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basedOn w:val="834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paragraph" w:styleId="831">
    <w:name w:val="Heading 2"/>
    <w:basedOn w:val="830"/>
    <w:next w:val="830"/>
    <w:link w:val="841"/>
    <w:uiPriority w:val="9"/>
    <w:unhideWhenUsed/>
    <w:qFormat/>
    <w:pPr>
      <w:keepLines/>
      <w:keepNext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832">
    <w:name w:val="Heading 3"/>
    <w:basedOn w:val="830"/>
    <w:link w:val="837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paragraph" w:styleId="833">
    <w:name w:val="Heading 4"/>
    <w:basedOn w:val="830"/>
    <w:link w:val="838"/>
    <w:uiPriority w:val="9"/>
    <w:qFormat/>
    <w:pPr>
      <w:spacing w:before="100" w:beforeAutospacing="1" w:after="100" w:afterAutospacing="1" w:line="240" w:lineRule="auto"/>
      <w:outlineLvl w:val="3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834" w:default="1">
    <w:name w:val="Default Paragraph Font"/>
    <w:uiPriority w:val="1"/>
    <w:semiHidden/>
    <w:unhideWhenUsed/>
  </w:style>
  <w:style w:type="table" w:styleId="83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6" w:default="1">
    <w:name w:val="No List"/>
    <w:uiPriority w:val="99"/>
    <w:semiHidden/>
    <w:unhideWhenUsed/>
  </w:style>
  <w:style w:type="character" w:styleId="837" w:customStyle="1">
    <w:name w:val="Заголовок 3 Знак"/>
    <w:basedOn w:val="834"/>
    <w:link w:val="832"/>
    <w:uiPriority w:val="9"/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styleId="838" w:customStyle="1">
    <w:name w:val="Заголовок 4 Знак"/>
    <w:basedOn w:val="834"/>
    <w:link w:val="833"/>
    <w:uiPriority w:val="9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839" w:customStyle="1">
    <w:name w:val="formattext"/>
    <w:basedOn w:val="83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0">
    <w:name w:val="Hyperlink"/>
    <w:basedOn w:val="834"/>
    <w:unhideWhenUsed/>
    <w:rPr>
      <w:color w:val="0000ff"/>
      <w:u w:val="single"/>
    </w:rPr>
  </w:style>
  <w:style w:type="character" w:styleId="841" w:customStyle="1">
    <w:name w:val="Заголовок 2 Знак"/>
    <w:basedOn w:val="834"/>
    <w:link w:val="831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842" w:customStyle="1">
    <w:name w:val="headertext"/>
    <w:basedOn w:val="83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43">
    <w:name w:val="Normal (Web)"/>
    <w:basedOn w:val="830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4">
    <w:name w:val="FollowedHyperlink"/>
    <w:basedOn w:val="834"/>
    <w:uiPriority w:val="99"/>
    <w:semiHidden/>
    <w:unhideWhenUsed/>
    <w:rPr>
      <w:color w:val="800080" w:themeColor="followedHyperlink"/>
      <w:u w:val="single"/>
    </w:rPr>
  </w:style>
  <w:style w:type="paragraph" w:styleId="845">
    <w:name w:val="List Paragraph"/>
    <w:basedOn w:val="830"/>
    <w:uiPriority w:val="34"/>
    <w:qFormat/>
    <w:pPr>
      <w:contextualSpacing/>
      <w:ind w:left="720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846" w:customStyle="1">
    <w:name w:val="ConsPlusNormal"/>
    <w:uiPriority w:val="99"/>
    <w:pPr>
      <w:spacing w:after="0" w:line="240" w:lineRule="auto"/>
      <w:widowControl w:val="off"/>
    </w:pPr>
    <w:rPr>
      <w:rFonts w:ascii="Calibri" w:hAnsi="Calibri" w:eastAsia="Times New Roman" w:cs="Calibri"/>
      <w:szCs w:val="20"/>
      <w:lang w:eastAsia="ru-RU"/>
    </w:rPr>
  </w:style>
  <w:style w:type="character" w:styleId="847" w:customStyle="1">
    <w:name w:val="nobr"/>
    <w:basedOn w:val="834"/>
  </w:style>
  <w:style w:type="paragraph" w:styleId="848">
    <w:name w:val="footnote text"/>
    <w:basedOn w:val="830"/>
    <w:link w:val="849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849" w:customStyle="1">
    <w:name w:val="Текст сноски Знак"/>
    <w:basedOn w:val="834"/>
    <w:link w:val="848"/>
    <w:uiPriority w:val="99"/>
    <w:semiHidden/>
    <w:rPr>
      <w:sz w:val="20"/>
      <w:szCs w:val="20"/>
    </w:rPr>
  </w:style>
  <w:style w:type="character" w:styleId="850">
    <w:name w:val="footnote reference"/>
    <w:basedOn w:val="834"/>
    <w:uiPriority w:val="99"/>
    <w:semiHidden/>
    <w:unhideWhenUsed/>
    <w:rPr>
      <w:vertAlign w:val="superscript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comments" Target="comments.xml" /><Relationship Id="rId11" Type="http://schemas.microsoft.com/office/2011/relationships/commentsExtended" Target="commentsExtended.xml" /><Relationship Id="rId12" Type="http://schemas.microsoft.com/office/2018/08/relationships/commentsExtensible" Target="commentsExtensible.xml" /><Relationship Id="rId13" Type="http://schemas.microsoft.com/office/2016/09/relationships/commentsIds" Target="commentsIds.xml" /><Relationship Id="rId14" Type="http://schemas.microsoft.com/office/2011/relationships/people" Target="people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63BCAE-82F0-4689-A89C-3D2166EFC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aa_kulikov</cp:lastModifiedBy>
  <cp:revision>7</cp:revision>
  <dcterms:created xsi:type="dcterms:W3CDTF">2025-08-04T12:50:00Z</dcterms:created>
  <dcterms:modified xsi:type="dcterms:W3CDTF">2026-10-22T11:21:52Z</dcterms:modified>
</cp:coreProperties>
</file>